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8D010" w14:textId="3E94EDD9" w:rsidR="00E52346" w:rsidRDefault="00101A2C" w:rsidP="00937421">
      <w:pPr>
        <w:spacing w:after="160" w:line="0" w:lineRule="auto"/>
      </w:pPr>
      <w:bookmarkStart w:id="0" w:name="_GoBack"/>
      <w:bookmarkEnd w:id="0"/>
      <w:proofErr w:type="spellStart"/>
      <w:r>
        <w:t>nät</w:t>
      </w:r>
      <w:r w:rsidR="00C40FC1">
        <w:t>UTKAST</w:t>
      </w:r>
      <w:proofErr w:type="spellEnd"/>
    </w:p>
    <w:p w14:paraId="7B02B114" w14:textId="09789C90" w:rsidR="00C40FC1" w:rsidRDefault="00FD671F" w:rsidP="009B7D46">
      <w:pPr>
        <w:pStyle w:val="Rubrik1"/>
        <w:tabs>
          <w:tab w:val="left" w:pos="567"/>
        </w:tabs>
      </w:pPr>
      <w:bookmarkStart w:id="1" w:name="_Hlk17719518"/>
      <w:r>
        <w:t>F</w:t>
      </w:r>
      <w:r w:rsidR="00C40FC1">
        <w:t xml:space="preserve">öreskrifter </w:t>
      </w:r>
      <w:r w:rsidR="00797CD9">
        <w:t>och allmänna råd</w:t>
      </w:r>
      <w:r w:rsidR="00F60F3B">
        <w:t xml:space="preserve"> </w:t>
      </w:r>
      <w:r w:rsidR="00C40FC1">
        <w:t xml:space="preserve">om </w:t>
      </w:r>
      <w:r>
        <w:t>r</w:t>
      </w:r>
      <w:r w:rsidR="006E2B17">
        <w:t>iskanalys</w:t>
      </w:r>
      <w:r w:rsidR="00797CD9">
        <w:t xml:space="preserve"> och säkerhetsåtgärder</w:t>
      </w:r>
      <w:r w:rsidR="006E2B17">
        <w:t xml:space="preserve"> för </w:t>
      </w:r>
      <w:r w:rsidR="00797CD9">
        <w:t>n</w:t>
      </w:r>
      <w:r w:rsidR="006E2B17">
        <w:t xml:space="preserve">ätverk och </w:t>
      </w:r>
      <w:r w:rsidR="00C413E8">
        <w:t xml:space="preserve"> </w:t>
      </w:r>
      <w:r w:rsidR="00797CD9">
        <w:t>i</w:t>
      </w:r>
      <w:r w:rsidR="006E2B17">
        <w:t>nformationssystem</w:t>
      </w:r>
      <w:r w:rsidR="00EF6E27">
        <w:t xml:space="preserve"> inom </w:t>
      </w:r>
      <w:r w:rsidR="00797CD9">
        <w:t>e</w:t>
      </w:r>
      <w:r w:rsidR="00EF6E27">
        <w:t>nergisektorn</w:t>
      </w:r>
      <w:bookmarkEnd w:id="1"/>
    </w:p>
    <w:p w14:paraId="2DCB3144" w14:textId="374CBE87" w:rsidR="00A5181D" w:rsidRDefault="00A5181D" w:rsidP="0083147A">
      <w:pPr>
        <w:pStyle w:val="Brdtext"/>
      </w:pPr>
      <w:r>
        <w:t xml:space="preserve">beslutade den xx </w:t>
      </w:r>
      <w:proofErr w:type="spellStart"/>
      <w:r>
        <w:t>xx</w:t>
      </w:r>
      <w:proofErr w:type="spellEnd"/>
      <w:r>
        <w:t xml:space="preserve"> 20</w:t>
      </w:r>
      <w:r w:rsidR="00D66A52">
        <w:t>20</w:t>
      </w:r>
      <w:r>
        <w:t>.</w:t>
      </w:r>
    </w:p>
    <w:p w14:paraId="3150401B" w14:textId="2FE4198C" w:rsidR="006E2B17" w:rsidRDefault="00A5181D" w:rsidP="0083147A">
      <w:pPr>
        <w:pStyle w:val="Brdtext"/>
      </w:pPr>
      <w:r>
        <w:t>Med stöd av 8 § förordningen (2018:1175) om informationssäkerhet för samhällsviktiga och digitala tjänster meddelar Statens e</w:t>
      </w:r>
      <w:r w:rsidR="006E2B17">
        <w:t>nergimyndighet</w:t>
      </w:r>
      <w:r>
        <w:t xml:space="preserve"> </w:t>
      </w:r>
      <w:r w:rsidR="006E2B17">
        <w:t xml:space="preserve">  följande</w:t>
      </w:r>
      <w:r>
        <w:t xml:space="preserve"> föreskrifter och allmänna råd</w:t>
      </w:r>
      <w:r w:rsidR="006E2B17">
        <w:t>.</w:t>
      </w:r>
    </w:p>
    <w:p w14:paraId="43ED3AF7" w14:textId="35E8F5D5" w:rsidR="009643D9" w:rsidRDefault="00EF5AC4" w:rsidP="0083147A">
      <w:pPr>
        <w:pStyle w:val="Brdtext"/>
      </w:pPr>
      <w:r>
        <w:t xml:space="preserve"> </w:t>
      </w:r>
    </w:p>
    <w:p w14:paraId="13CB37BB" w14:textId="7625ADAA" w:rsidR="00D33082" w:rsidRDefault="00D33082" w:rsidP="0083147A">
      <w:pPr>
        <w:pStyle w:val="Brdtext"/>
      </w:pPr>
    </w:p>
    <w:p w14:paraId="1E843D75" w14:textId="52367E28" w:rsidR="00D33082" w:rsidRDefault="00D33082" w:rsidP="0083147A">
      <w:pPr>
        <w:pStyle w:val="Brdtext"/>
      </w:pPr>
    </w:p>
    <w:p w14:paraId="60495C38" w14:textId="77777777" w:rsidR="00D33082" w:rsidRDefault="00D33082" w:rsidP="0083147A">
      <w:pPr>
        <w:pStyle w:val="Brdtext"/>
      </w:pPr>
    </w:p>
    <w:p w14:paraId="4D38B86B" w14:textId="77777777" w:rsidR="000A71FD" w:rsidRDefault="000A71FD">
      <w:pPr>
        <w:spacing w:after="160" w:line="0" w:lineRule="auto"/>
        <w:rPr>
          <w:rFonts w:asciiTheme="majorHAnsi" w:eastAsiaTheme="majorEastAsia" w:hAnsiTheme="majorHAnsi" w:cstheme="majorBidi"/>
          <w:b/>
          <w:szCs w:val="26"/>
        </w:rPr>
      </w:pPr>
      <w:r>
        <w:br w:type="page"/>
      </w:r>
    </w:p>
    <w:p w14:paraId="18401B97" w14:textId="0E9292CE" w:rsidR="00130364" w:rsidRPr="004B6FEF" w:rsidRDefault="00130364" w:rsidP="009B7D46">
      <w:pPr>
        <w:pStyle w:val="Rubrik2"/>
        <w:tabs>
          <w:tab w:val="left" w:pos="567"/>
        </w:tabs>
        <w:rPr>
          <w:rFonts w:asciiTheme="minorHAnsi" w:eastAsiaTheme="minorHAnsi" w:hAnsiTheme="minorHAnsi" w:cstheme="minorBidi"/>
          <w:szCs w:val="22"/>
        </w:rPr>
      </w:pPr>
      <w:r w:rsidRPr="004B6FEF">
        <w:lastRenderedPageBreak/>
        <w:t xml:space="preserve">1 kap. </w:t>
      </w:r>
      <w:r w:rsidR="00A5181D" w:rsidRPr="004B6FEF">
        <w:rPr>
          <w:rFonts w:cstheme="minorHAnsi"/>
          <w:bCs/>
          <w:sz w:val="24"/>
          <w:szCs w:val="24"/>
        </w:rPr>
        <w:t>Inled</w:t>
      </w:r>
      <w:r w:rsidRPr="004B6FEF">
        <w:rPr>
          <w:rFonts w:cstheme="minorHAnsi"/>
          <w:bCs/>
          <w:sz w:val="24"/>
          <w:szCs w:val="24"/>
        </w:rPr>
        <w:t>ande bestämmelser</w:t>
      </w:r>
      <w:r w:rsidR="00391804">
        <w:rPr>
          <w:rFonts w:cstheme="minorHAnsi"/>
          <w:bCs/>
          <w:sz w:val="24"/>
          <w:szCs w:val="24"/>
        </w:rPr>
        <w:t xml:space="preserve"> och definitioner</w:t>
      </w:r>
    </w:p>
    <w:p w14:paraId="72E1EAD7" w14:textId="77777777" w:rsidR="009643D9" w:rsidRDefault="009643D9" w:rsidP="0083147A">
      <w:pPr>
        <w:pStyle w:val="Brdtext"/>
      </w:pPr>
    </w:p>
    <w:p w14:paraId="2BB6B8A8" w14:textId="79E18C55" w:rsidR="00130364" w:rsidRDefault="00130364" w:rsidP="0083147A">
      <w:pPr>
        <w:pStyle w:val="Brdtext"/>
      </w:pPr>
      <w:r>
        <w:t>Tillämpningsområde</w:t>
      </w:r>
    </w:p>
    <w:p w14:paraId="5E3900D7" w14:textId="1458B169" w:rsidR="00C64EC1" w:rsidRDefault="00A5181D" w:rsidP="0083147A">
      <w:pPr>
        <w:pStyle w:val="Brdtext"/>
      </w:pPr>
      <w:r w:rsidRPr="00A5181D">
        <w:rPr>
          <w:b/>
          <w:bCs/>
        </w:rPr>
        <w:t>1 §</w:t>
      </w:r>
      <w:r w:rsidR="00B010B6">
        <w:rPr>
          <w:b/>
          <w:bCs/>
        </w:rPr>
        <w:tab/>
      </w:r>
      <w:r w:rsidR="00EA3F88">
        <w:t>I d</w:t>
      </w:r>
      <w:r w:rsidRPr="00A5181D">
        <w:t xml:space="preserve">essa föreskrifter </w:t>
      </w:r>
      <w:r w:rsidR="00EA3F88">
        <w:t xml:space="preserve">finns </w:t>
      </w:r>
      <w:r w:rsidRPr="00A5181D">
        <w:t>bestämmelser</w:t>
      </w:r>
      <w:r w:rsidR="005B5084">
        <w:t xml:space="preserve"> för leverantörer av samhällsviktiga tjänster inom energisektorn</w:t>
      </w:r>
      <w:r w:rsidRPr="00A5181D">
        <w:t xml:space="preserve"> om </w:t>
      </w:r>
      <w:r>
        <w:t>riskanalys enligt 12 § lagen (2018:1174) om informationssäkerhet för samhällsviktiga och digitala tjänster</w:t>
      </w:r>
      <w:r w:rsidR="00CA24D9">
        <w:t xml:space="preserve"> </w:t>
      </w:r>
      <w:r w:rsidR="00C50DCC">
        <w:t>samt</w:t>
      </w:r>
      <w:r w:rsidR="00CA24D9">
        <w:t xml:space="preserve"> </w:t>
      </w:r>
      <w:r w:rsidR="00A022B6">
        <w:t>om</w:t>
      </w:r>
      <w:r w:rsidR="00EA3F88">
        <w:t xml:space="preserve"> </w:t>
      </w:r>
      <w:r w:rsidR="00CA24D9">
        <w:t>säkerhetsåtgärder enligt 1</w:t>
      </w:r>
      <w:r w:rsidR="00BD3728">
        <w:t>3</w:t>
      </w:r>
      <w:r w:rsidR="00CA24D9">
        <w:t xml:space="preserve"> och 1</w:t>
      </w:r>
      <w:r w:rsidR="00BD3728">
        <w:t>4</w:t>
      </w:r>
      <w:r w:rsidR="00CA24D9">
        <w:t xml:space="preserve"> §§ samma lag.</w:t>
      </w:r>
    </w:p>
    <w:p w14:paraId="3D6F44B6" w14:textId="2F279A59" w:rsidR="00C64EC1" w:rsidRPr="004B6FEF" w:rsidRDefault="00C64EC1" w:rsidP="0083147A">
      <w:pPr>
        <w:pStyle w:val="Brdtext"/>
      </w:pPr>
      <w:r w:rsidRPr="004B6FEF">
        <w:t>Definitioner</w:t>
      </w:r>
    </w:p>
    <w:p w14:paraId="47F0BA76" w14:textId="47D9AC87" w:rsidR="000E143D" w:rsidRDefault="004F1455">
      <w:pPr>
        <w:pStyle w:val="Brdtext"/>
      </w:pPr>
      <w:r w:rsidRPr="004B6FEF">
        <w:rPr>
          <w:b/>
        </w:rPr>
        <w:t>2</w:t>
      </w:r>
      <w:r w:rsidR="00C64EC1" w:rsidRPr="004B6FEF">
        <w:rPr>
          <w:b/>
        </w:rPr>
        <w:t xml:space="preserve"> §</w:t>
      </w:r>
      <w:r w:rsidR="009E4813">
        <w:t xml:space="preserve"> </w:t>
      </w:r>
      <w:r w:rsidR="009E4813">
        <w:tab/>
      </w:r>
      <w:r w:rsidR="005756B8">
        <w:t>Begrepp</w:t>
      </w:r>
      <w:r w:rsidR="00E96FA9">
        <w:t xml:space="preserve"> och uttryck i de</w:t>
      </w:r>
      <w:r w:rsidR="005756B8">
        <w:t>ss</w:t>
      </w:r>
      <w:r w:rsidR="00E96FA9">
        <w:t>a föreskrift</w:t>
      </w:r>
      <w:r w:rsidR="005756B8">
        <w:t xml:space="preserve">er används i samma betydelse som i lagen </w:t>
      </w:r>
      <w:r w:rsidR="00E96FA9">
        <w:t xml:space="preserve">om informationssäkerhet </w:t>
      </w:r>
      <w:r w:rsidR="00B447D9">
        <w:t>för samhällsviktiga och digitala tjänster</w:t>
      </w:r>
      <w:r w:rsidR="005756B8">
        <w:t>.</w:t>
      </w:r>
      <w:r w:rsidR="003961A0">
        <w:t xml:space="preserve"> </w:t>
      </w:r>
      <w:r w:rsidR="006A12C6">
        <w:t>Dessutom betyder</w:t>
      </w:r>
      <w:r w:rsidR="003961A0">
        <w:t xml:space="preserve"> </w:t>
      </w:r>
    </w:p>
    <w:p w14:paraId="49CB7B69" w14:textId="04BC7FE1" w:rsidR="00130364" w:rsidRDefault="00130364" w:rsidP="005A14EF">
      <w:pPr>
        <w:pStyle w:val="Brdtext"/>
        <w:ind w:left="927"/>
      </w:pPr>
      <w:r>
        <w:rPr>
          <w:i/>
        </w:rPr>
        <w:t>l</w:t>
      </w:r>
      <w:r w:rsidRPr="004B6FEF">
        <w:rPr>
          <w:i/>
        </w:rPr>
        <w:t>everantör</w:t>
      </w:r>
      <w:r w:rsidR="005C265E">
        <w:t xml:space="preserve">: leverantör av tjänster </w:t>
      </w:r>
      <w:r w:rsidR="007671DC">
        <w:t>rörande</w:t>
      </w:r>
      <w:r w:rsidR="005C265E">
        <w:t xml:space="preserve"> el, olja </w:t>
      </w:r>
      <w:r w:rsidR="00E424AE">
        <w:t>eller</w:t>
      </w:r>
      <w:r w:rsidR="005C265E">
        <w:t xml:space="preserve"> gas</w:t>
      </w:r>
      <w:r w:rsidR="00391804">
        <w:t>försörjning</w:t>
      </w:r>
      <w:r w:rsidR="005C265E">
        <w:t xml:space="preserve"> enligt 3 kap. 1 – 3 §§ Myndigheten för samhällsskydd och beredskaps föreskrifter om anmälan och identifiering av leverantörer av samhällsviktiga tjänster, MSBFS 2018:7</w:t>
      </w:r>
      <w:r w:rsidR="006A12C6">
        <w:t>,</w:t>
      </w:r>
    </w:p>
    <w:p w14:paraId="2AD85551" w14:textId="7F074323" w:rsidR="00D33082" w:rsidRDefault="008F4C34" w:rsidP="005A14EF">
      <w:pPr>
        <w:pStyle w:val="Brdtext"/>
        <w:ind w:left="927"/>
      </w:pPr>
      <w:r>
        <w:rPr>
          <w:i/>
        </w:rPr>
        <w:t xml:space="preserve">IT: </w:t>
      </w:r>
      <w:r w:rsidR="00A94FD0">
        <w:t>nätverk och informationssystem</w:t>
      </w:r>
      <w:r>
        <w:t xml:space="preserve"> med funktioner för </w:t>
      </w:r>
      <w:r w:rsidR="00266530">
        <w:t>administrativt bruk</w:t>
      </w:r>
      <w:r w:rsidR="006A12C6">
        <w:t>,</w:t>
      </w:r>
    </w:p>
    <w:p w14:paraId="4421A84C" w14:textId="39328C85" w:rsidR="00617270" w:rsidRDefault="00617270" w:rsidP="00617270">
      <w:pPr>
        <w:pStyle w:val="Brdtext"/>
        <w:ind w:left="927"/>
      </w:pPr>
      <w:r>
        <w:rPr>
          <w:i/>
        </w:rPr>
        <w:t>OT:</w:t>
      </w:r>
      <w:r>
        <w:t xml:space="preserve"> </w:t>
      </w:r>
      <w:r w:rsidR="00A94FD0">
        <w:t xml:space="preserve">nätverk och informationssystem </w:t>
      </w:r>
      <w:r>
        <w:t>som styr eller mäter en fysisk</w:t>
      </w:r>
      <w:r w:rsidR="00ED79E0">
        <w:t>, analog</w:t>
      </w:r>
      <w:r w:rsidR="003823AC">
        <w:t xml:space="preserve"> hårdvara</w:t>
      </w:r>
      <w:r w:rsidR="006A12C6">
        <w:t>,</w:t>
      </w:r>
      <w:r>
        <w:t xml:space="preserve"> </w:t>
      </w:r>
    </w:p>
    <w:p w14:paraId="23AC0574" w14:textId="1A656E7C" w:rsidR="00617270" w:rsidRDefault="00F26339" w:rsidP="00617270">
      <w:pPr>
        <w:pStyle w:val="Brdtext"/>
        <w:ind w:left="927"/>
        <w:rPr>
          <w:iCs/>
        </w:rPr>
      </w:pPr>
      <w:r>
        <w:rPr>
          <w:i/>
        </w:rPr>
        <w:t>i</w:t>
      </w:r>
      <w:r w:rsidR="00617270">
        <w:rPr>
          <w:i/>
        </w:rPr>
        <w:t xml:space="preserve">nformationssäkerhetskrav: </w:t>
      </w:r>
      <w:r>
        <w:rPr>
          <w:iCs/>
        </w:rPr>
        <w:t>f</w:t>
      </w:r>
      <w:r w:rsidR="008A38CB" w:rsidRPr="001C6D41">
        <w:rPr>
          <w:iCs/>
        </w:rPr>
        <w:t xml:space="preserve">unktionella krav på </w:t>
      </w:r>
      <w:r w:rsidR="004716BA">
        <w:rPr>
          <w:iCs/>
        </w:rPr>
        <w:t>säkerhet i n</w:t>
      </w:r>
      <w:r w:rsidR="008A38CB" w:rsidRPr="001C6D41">
        <w:rPr>
          <w:iCs/>
        </w:rPr>
        <w:t>ätverk och informationssystem</w:t>
      </w:r>
      <w:r w:rsidR="006A12C6">
        <w:rPr>
          <w:iCs/>
        </w:rPr>
        <w:t>,</w:t>
      </w:r>
      <w:r w:rsidR="008A38CB" w:rsidRPr="001C6D41">
        <w:rPr>
          <w:iCs/>
        </w:rPr>
        <w:t xml:space="preserve">  </w:t>
      </w:r>
    </w:p>
    <w:p w14:paraId="51890B6D" w14:textId="404C4514" w:rsidR="00AC7876" w:rsidRPr="001C6D41" w:rsidRDefault="00A72DF8" w:rsidP="00617270">
      <w:pPr>
        <w:pStyle w:val="Brdtext"/>
        <w:ind w:left="927"/>
        <w:rPr>
          <w:iCs/>
        </w:rPr>
      </w:pPr>
      <w:r>
        <w:rPr>
          <w:i/>
        </w:rPr>
        <w:t>i</w:t>
      </w:r>
      <w:r w:rsidR="00AC7876">
        <w:rPr>
          <w:i/>
        </w:rPr>
        <w:t>nformationssystem:</w:t>
      </w:r>
      <w:r w:rsidR="00AC7876">
        <w:rPr>
          <w:iCs/>
        </w:rPr>
        <w:t xml:space="preserve"> </w:t>
      </w:r>
      <w:r w:rsidR="007B6C6F">
        <w:rPr>
          <w:rFonts w:ascii="Arial" w:hAnsi="Arial" w:cs="Arial"/>
          <w:color w:val="000000"/>
          <w:shd w:val="clear" w:color="auto" w:fill="FFFFFF"/>
        </w:rPr>
        <w:t>en enhet eller en grupp enheter som är sammankopplade eller hör samman med varandra, av vilka en eller flera genom ett program utför automatisk behandling av digitala uppgifter</w:t>
      </w:r>
      <w:r w:rsidR="001B4949">
        <w:rPr>
          <w:iCs/>
        </w:rPr>
        <w:t>.</w:t>
      </w:r>
    </w:p>
    <w:p w14:paraId="740D494F" w14:textId="77777777" w:rsidR="00310BDA" w:rsidRDefault="00F74145" w:rsidP="00C27B7C">
      <w:pPr>
        <w:pStyle w:val="Brdtext"/>
      </w:pPr>
      <w:r w:rsidRPr="005A14EF">
        <w:rPr>
          <w:b/>
        </w:rPr>
        <w:t>3</w:t>
      </w:r>
      <w:r w:rsidR="00E33E56" w:rsidRPr="005A14EF">
        <w:rPr>
          <w:b/>
        </w:rPr>
        <w:t xml:space="preserve"> §</w:t>
      </w:r>
      <w:r w:rsidR="00E33E56">
        <w:tab/>
      </w:r>
      <w:r>
        <w:t>Dessa föreskrifter avser</w:t>
      </w:r>
      <w:r w:rsidR="004222E2">
        <w:t xml:space="preserve"> en</w:t>
      </w:r>
      <w:r>
        <w:t xml:space="preserve"> leverantörs nätverk och informationssystem som </w:t>
      </w:r>
      <w:r w:rsidR="00902EBA">
        <w:t>leverantören</w:t>
      </w:r>
      <w:r>
        <w:t xml:space="preserve"> använder för att tillhandahålla samhällsviktiga tjänster</w:t>
      </w:r>
      <w:r w:rsidR="004C00D3">
        <w:t>.</w:t>
      </w:r>
      <w:r w:rsidR="00C720BF">
        <w:t xml:space="preserve">  </w:t>
      </w:r>
    </w:p>
    <w:p w14:paraId="4620F225" w14:textId="5900B797" w:rsidR="00C720BF" w:rsidRDefault="00C720BF" w:rsidP="00C27B7C">
      <w:pPr>
        <w:pStyle w:val="Brdtext"/>
      </w:pPr>
      <w:r>
        <w:t xml:space="preserve">Leverantören ska </w:t>
      </w:r>
      <w:r w:rsidR="00355526">
        <w:t xml:space="preserve">analysera sina nätverk och informationssystem för att </w:t>
      </w:r>
      <w:r w:rsidR="00C50DCC">
        <w:t>fastställa</w:t>
      </w:r>
      <w:r w:rsidR="00355526">
        <w:t xml:space="preserve"> v</w:t>
      </w:r>
      <w:r w:rsidR="002538C4">
        <w:t xml:space="preserve">ilka nätverk och informationssystem som leverantören använder för att </w:t>
      </w:r>
      <w:r w:rsidR="00310BDA">
        <w:t>tillhandahålla</w:t>
      </w:r>
      <w:r w:rsidR="002538C4">
        <w:t xml:space="preserve"> samhällsviktiga tjänste</w:t>
      </w:r>
      <w:r w:rsidR="00310BDA">
        <w:t>r</w:t>
      </w:r>
      <w:r w:rsidR="002538C4">
        <w:t>.</w:t>
      </w:r>
      <w:r w:rsidR="004927E0">
        <w:t xml:space="preserve"> </w:t>
      </w:r>
      <w:r w:rsidR="00AB53A6">
        <w:t>Leverantören</w:t>
      </w:r>
      <w:r w:rsidR="00310BDA">
        <w:t xml:space="preserve"> ska dokumentera den</w:t>
      </w:r>
      <w:r w:rsidR="00AB53A6">
        <w:t xml:space="preserve"> metod </w:t>
      </w:r>
      <w:r w:rsidR="00310BDA">
        <w:t xml:space="preserve">som används </w:t>
      </w:r>
      <w:r w:rsidR="00AB53A6">
        <w:t>för utförandet av analys</w:t>
      </w:r>
      <w:r w:rsidR="00310BDA">
        <w:t>en</w:t>
      </w:r>
      <w:r w:rsidR="00AB53A6">
        <w:t xml:space="preserve"> </w:t>
      </w:r>
      <w:r w:rsidR="00310BDA">
        <w:t>liksom</w:t>
      </w:r>
      <w:r w:rsidR="00AB53A6">
        <w:t xml:space="preserve"> resultatet av analysen.  </w:t>
      </w:r>
    </w:p>
    <w:p w14:paraId="7BC649CD" w14:textId="2E5252E7" w:rsidR="00C27B7C" w:rsidRDefault="00C27B7C">
      <w:pPr>
        <w:spacing w:after="160" w:line="0" w:lineRule="auto"/>
        <w:rPr>
          <w:rFonts w:asciiTheme="majorHAnsi" w:eastAsiaTheme="majorEastAsia" w:hAnsiTheme="majorHAnsi" w:cstheme="majorBidi"/>
          <w:b/>
          <w:szCs w:val="26"/>
        </w:rPr>
      </w:pPr>
      <w:r>
        <w:rPr>
          <w:rFonts w:eastAsiaTheme="majorEastAsia" w:cstheme="majorBidi"/>
          <w:b/>
          <w:szCs w:val="26"/>
        </w:rPr>
        <w:br w:type="page"/>
      </w:r>
    </w:p>
    <w:p w14:paraId="27432762" w14:textId="77777777" w:rsidR="004E31F4" w:rsidRDefault="004E31F4" w:rsidP="004C00D3">
      <w:pPr>
        <w:pStyle w:val="Brdtext"/>
        <w:rPr>
          <w:rFonts w:eastAsiaTheme="majorEastAsia" w:cstheme="majorBidi"/>
          <w:b/>
          <w:szCs w:val="26"/>
        </w:rPr>
      </w:pPr>
    </w:p>
    <w:p w14:paraId="2E504335" w14:textId="651F45D1" w:rsidR="006E2B17" w:rsidRDefault="00200814" w:rsidP="009B7D46">
      <w:pPr>
        <w:pStyle w:val="Rubrik2"/>
        <w:tabs>
          <w:tab w:val="left" w:pos="567"/>
        </w:tabs>
      </w:pPr>
      <w:r>
        <w:t>2</w:t>
      </w:r>
      <w:r w:rsidR="006E2B17">
        <w:t xml:space="preserve"> kap. Riskanalys</w:t>
      </w:r>
    </w:p>
    <w:p w14:paraId="37D20D6B" w14:textId="6ECC54AD" w:rsidR="006B5A2B" w:rsidRPr="006B5A2B" w:rsidRDefault="006B5A2B" w:rsidP="006B5A2B">
      <w:pPr>
        <w:pStyle w:val="Brdtext"/>
      </w:pPr>
    </w:p>
    <w:p w14:paraId="5DF70B94" w14:textId="6925A9B7" w:rsidR="006B5A2B" w:rsidRDefault="00651632" w:rsidP="004C00D3">
      <w:pPr>
        <w:pStyle w:val="Brdtext"/>
      </w:pPr>
      <w:r w:rsidRPr="005A14EF">
        <w:rPr>
          <w:b/>
        </w:rPr>
        <w:t>1 §</w:t>
      </w:r>
      <w:r w:rsidR="00B010B6">
        <w:tab/>
      </w:r>
      <w:r w:rsidR="00444354">
        <w:t>E</w:t>
      </w:r>
      <w:r w:rsidR="00B32CEF">
        <w:t>nligt 12 § lagen om informationssäkerhet för samhällsviktiga och digitala tjänster</w:t>
      </w:r>
      <w:r w:rsidR="00444354">
        <w:t xml:space="preserve"> ska leverantörer göra</w:t>
      </w:r>
      <w:r w:rsidR="00444354" w:rsidRPr="00444354">
        <w:t xml:space="preserve"> en riskanalys</w:t>
      </w:r>
      <w:r w:rsidR="00444354">
        <w:t xml:space="preserve"> som ska ligga till grund för val av säkerhetsåtgärder enligt 13 och 14 §§ samma lag</w:t>
      </w:r>
      <w:r w:rsidR="00BD5E02">
        <w:t xml:space="preserve">.  </w:t>
      </w:r>
      <w:r w:rsidR="00813106">
        <w:t>I riskanalys</w:t>
      </w:r>
      <w:r w:rsidR="00444354">
        <w:t>en</w:t>
      </w:r>
      <w:r w:rsidR="00813106">
        <w:t xml:space="preserve"> ska leverantören </w:t>
      </w:r>
      <w:r w:rsidR="009851D2">
        <w:t xml:space="preserve">utgå från den analys som utförts </w:t>
      </w:r>
      <w:r w:rsidR="00444354">
        <w:t>enligt</w:t>
      </w:r>
      <w:r w:rsidR="009851D2">
        <w:t xml:space="preserve"> 1 kap. 3 §.  </w:t>
      </w:r>
    </w:p>
    <w:p w14:paraId="01F2B492" w14:textId="616A9615" w:rsidR="0062691A" w:rsidRDefault="00B010B6" w:rsidP="00DA07CB">
      <w:pPr>
        <w:pStyle w:val="Brdtext"/>
      </w:pPr>
      <w:r>
        <w:rPr>
          <w:b/>
        </w:rPr>
        <w:t>2 §</w:t>
      </w:r>
      <w:r w:rsidR="006023E5">
        <w:tab/>
      </w:r>
      <w:r w:rsidR="00807055">
        <w:t>I samband med</w:t>
      </w:r>
      <w:r w:rsidR="004C29DF">
        <w:t xml:space="preserve"> </w:t>
      </w:r>
      <w:r w:rsidR="0097681E" w:rsidRPr="00530ED5">
        <w:t>r</w:t>
      </w:r>
      <w:r w:rsidR="004C29DF" w:rsidRPr="00530ED5">
        <w:t>iskanalys</w:t>
      </w:r>
      <w:r w:rsidR="0097681E" w:rsidRPr="00530ED5">
        <w:t>en</w:t>
      </w:r>
      <w:r w:rsidR="004C29DF">
        <w:t xml:space="preserve"> ska </w:t>
      </w:r>
      <w:r w:rsidR="00331E35">
        <w:t xml:space="preserve">leverantören </w:t>
      </w:r>
      <w:r w:rsidR="00444354">
        <w:t>göra</w:t>
      </w:r>
      <w:r w:rsidR="00A67BC4">
        <w:t xml:space="preserve"> en omvärldsbevakning för att </w:t>
      </w:r>
      <w:r w:rsidR="00C56A4A">
        <w:t xml:space="preserve">samla in </w:t>
      </w:r>
      <w:r w:rsidR="004C29DF">
        <w:t xml:space="preserve">och analysera </w:t>
      </w:r>
      <w:r w:rsidR="00CD0901">
        <w:t>information</w:t>
      </w:r>
      <w:r w:rsidR="003C5D36">
        <w:t xml:space="preserve"> som påverkar</w:t>
      </w:r>
      <w:r w:rsidR="004C00D3">
        <w:t xml:space="preserve"> riskers konsekvens eller sannolikhet </w:t>
      </w:r>
      <w:r w:rsidR="003C5D36">
        <w:t xml:space="preserve">i </w:t>
      </w:r>
      <w:r w:rsidR="0029257F">
        <w:t xml:space="preserve">leverantörens </w:t>
      </w:r>
      <w:r w:rsidR="001C6D41">
        <w:t xml:space="preserve">nätverk och informationssystem. </w:t>
      </w:r>
      <w:r w:rsidR="00666B83">
        <w:t>Vid</w:t>
      </w:r>
      <w:r w:rsidR="001C6D41">
        <w:t xml:space="preserve"> </w:t>
      </w:r>
      <w:r w:rsidR="00D77D3E">
        <w:t>utförandet</w:t>
      </w:r>
      <w:r w:rsidR="009950DE">
        <w:t xml:space="preserve"> av </w:t>
      </w:r>
      <w:r w:rsidR="00666B83">
        <w:t>o</w:t>
      </w:r>
      <w:r w:rsidR="00A67BC4">
        <w:t xml:space="preserve">mvärldsbevakningen </w:t>
      </w:r>
      <w:r w:rsidR="00B80242">
        <w:t>sk</w:t>
      </w:r>
      <w:r w:rsidR="00D33082">
        <w:t xml:space="preserve">a </w:t>
      </w:r>
      <w:r w:rsidR="00666B83">
        <w:t xml:space="preserve">leverantören </w:t>
      </w:r>
      <w:r w:rsidR="00F2767F">
        <w:t xml:space="preserve">särskilt </w:t>
      </w:r>
      <w:r w:rsidR="00D33082">
        <w:t>analysera</w:t>
      </w:r>
    </w:p>
    <w:p w14:paraId="5C26321D" w14:textId="77777777" w:rsidR="0062691A" w:rsidRDefault="0062691A" w:rsidP="0062691A">
      <w:pPr>
        <w:pStyle w:val="Brdtext"/>
        <w:numPr>
          <w:ilvl w:val="0"/>
          <w:numId w:val="33"/>
        </w:numPr>
      </w:pPr>
      <w:r>
        <w:t xml:space="preserve"> </w:t>
      </w:r>
      <w:r w:rsidR="00B80242">
        <w:t xml:space="preserve">allmänna trender inom cybersäkerhet, </w:t>
      </w:r>
    </w:p>
    <w:p w14:paraId="7F4647F5" w14:textId="3FBC2D42" w:rsidR="0062691A" w:rsidRDefault="0062691A" w:rsidP="0062691A">
      <w:pPr>
        <w:pStyle w:val="Brdtext"/>
        <w:numPr>
          <w:ilvl w:val="0"/>
          <w:numId w:val="33"/>
        </w:numPr>
      </w:pPr>
      <w:r>
        <w:t xml:space="preserve"> tekniska trender</w:t>
      </w:r>
      <w:r w:rsidR="00E5096D">
        <w:t xml:space="preserve"> och </w:t>
      </w:r>
      <w:r w:rsidR="009950DE">
        <w:t>etablerad praxis</w:t>
      </w:r>
      <w:r w:rsidR="00F2767F">
        <w:t xml:space="preserve"> avseende </w:t>
      </w:r>
      <w:r w:rsidR="00807055">
        <w:t xml:space="preserve">hotaktörer och sårbarheter i den hårdvara och mjukvara </w:t>
      </w:r>
      <w:r w:rsidR="005C3244">
        <w:t>som används</w:t>
      </w:r>
      <w:r>
        <w:t xml:space="preserve"> </w:t>
      </w:r>
      <w:r w:rsidR="00B80242">
        <w:t xml:space="preserve">inom </w:t>
      </w:r>
      <w:r w:rsidR="00B80242" w:rsidRPr="0062691A">
        <w:t>energisektorn</w:t>
      </w:r>
      <w:r w:rsidR="00393E7A">
        <w:t>,</w:t>
      </w:r>
      <w:r w:rsidR="00B80242">
        <w:t xml:space="preserve"> </w:t>
      </w:r>
    </w:p>
    <w:p w14:paraId="5A8808ED" w14:textId="2B7E7402" w:rsidR="0062691A" w:rsidRDefault="0062691A" w:rsidP="0062691A">
      <w:pPr>
        <w:pStyle w:val="Brdtext"/>
        <w:numPr>
          <w:ilvl w:val="0"/>
          <w:numId w:val="33"/>
        </w:numPr>
      </w:pPr>
      <w:r>
        <w:t xml:space="preserve"> </w:t>
      </w:r>
      <w:r w:rsidR="004A1772">
        <w:t>e</w:t>
      </w:r>
      <w:r w:rsidR="00E5096D">
        <w:t>xterna i</w:t>
      </w:r>
      <w:r>
        <w:t xml:space="preserve">ncidenter och hot </w:t>
      </w:r>
      <w:r w:rsidR="00F2767F">
        <w:t>mot leverantörens</w:t>
      </w:r>
      <w:r w:rsidR="007C2446">
        <w:t xml:space="preserve"> nätverk och informationssystem</w:t>
      </w:r>
      <w:r>
        <w:t>,</w:t>
      </w:r>
      <w:r w:rsidR="00CD0901">
        <w:t xml:space="preserve"> </w:t>
      </w:r>
    </w:p>
    <w:p w14:paraId="2A11326A" w14:textId="55A4773E" w:rsidR="006023E5" w:rsidRDefault="0062691A" w:rsidP="0062691A">
      <w:pPr>
        <w:pStyle w:val="Brdtext"/>
        <w:numPr>
          <w:ilvl w:val="0"/>
          <w:numId w:val="33"/>
        </w:numPr>
      </w:pPr>
      <w:r>
        <w:t xml:space="preserve"> </w:t>
      </w:r>
      <w:r w:rsidR="003C5D36">
        <w:t xml:space="preserve">organisatoriska och tekniska </w:t>
      </w:r>
      <w:r w:rsidR="00B80242">
        <w:t xml:space="preserve">förändringar i </w:t>
      </w:r>
      <w:r w:rsidR="00A67BC4">
        <w:t>leverantörens</w:t>
      </w:r>
      <w:r w:rsidR="00B80242">
        <w:t xml:space="preserve"> organisation</w:t>
      </w:r>
      <w:r w:rsidR="009950DE">
        <w:t xml:space="preserve">, </w:t>
      </w:r>
      <w:r w:rsidR="00AE0338">
        <w:t>samt</w:t>
      </w:r>
    </w:p>
    <w:p w14:paraId="4A1BBC67" w14:textId="3DDF92FE" w:rsidR="0062691A" w:rsidRDefault="0062691A" w:rsidP="0062691A">
      <w:pPr>
        <w:pStyle w:val="Brdtext"/>
        <w:numPr>
          <w:ilvl w:val="0"/>
          <w:numId w:val="33"/>
        </w:numPr>
      </w:pPr>
      <w:r>
        <w:t xml:space="preserve"> incidenter i </w:t>
      </w:r>
      <w:r w:rsidR="005C3244">
        <w:t xml:space="preserve">leverantörens </w:t>
      </w:r>
      <w:r w:rsidR="00293E66">
        <w:t>nätverk</w:t>
      </w:r>
      <w:r w:rsidR="00666B83">
        <w:t>s-</w:t>
      </w:r>
      <w:r w:rsidR="00293E66">
        <w:t xml:space="preserve"> och informationssystem.</w:t>
      </w:r>
    </w:p>
    <w:p w14:paraId="0F8628AC" w14:textId="2D5F17FF" w:rsidR="00B36376" w:rsidRDefault="00651632" w:rsidP="0083147A">
      <w:pPr>
        <w:pStyle w:val="Brdtext"/>
      </w:pPr>
      <w:r>
        <w:rPr>
          <w:b/>
        </w:rPr>
        <w:t>3</w:t>
      </w:r>
      <w:r w:rsidR="00B36376" w:rsidRPr="005A14EF">
        <w:rPr>
          <w:b/>
        </w:rPr>
        <w:t xml:space="preserve"> §</w:t>
      </w:r>
      <w:r w:rsidR="00B36376">
        <w:tab/>
      </w:r>
      <w:r w:rsidR="005C3244">
        <w:t>I riskanalysen ska leverantören värdera de i</w:t>
      </w:r>
      <w:r w:rsidR="004A1772">
        <w:t>dentifierade risker</w:t>
      </w:r>
      <w:r w:rsidR="005C3244">
        <w:t>na</w:t>
      </w:r>
      <w:r w:rsidR="00781BE9">
        <w:t xml:space="preserve"> utifrån</w:t>
      </w:r>
      <w:r w:rsidR="009B661B">
        <w:t xml:space="preserve"> en </w:t>
      </w:r>
      <w:r w:rsidR="00781BE9">
        <w:t>bedömning av risk</w:t>
      </w:r>
      <w:r w:rsidR="006C56D6">
        <w:t>er</w:t>
      </w:r>
      <w:r w:rsidR="008F6198">
        <w:t>na</w:t>
      </w:r>
      <w:r w:rsidR="006C56D6">
        <w:t xml:space="preserve">s </w:t>
      </w:r>
      <w:r w:rsidR="009B661B" w:rsidRPr="00530ED5">
        <w:t>sannolikhet</w:t>
      </w:r>
      <w:r w:rsidR="009B661B">
        <w:t xml:space="preserve"> och </w:t>
      </w:r>
      <w:r w:rsidR="009B661B" w:rsidRPr="00530ED5">
        <w:t>konsekvens</w:t>
      </w:r>
      <w:r w:rsidR="009B661B">
        <w:t xml:space="preserve">. </w:t>
      </w:r>
      <w:r w:rsidR="006C56D6">
        <w:t xml:space="preserve">Utifrån </w:t>
      </w:r>
      <w:r w:rsidR="002535B0">
        <w:t xml:space="preserve">leverantörens </w:t>
      </w:r>
      <w:r w:rsidR="006C56D6">
        <w:t>bedömning av</w:t>
      </w:r>
      <w:r w:rsidR="004D7F91">
        <w:t xml:space="preserve"> </w:t>
      </w:r>
      <w:r w:rsidR="006C56D6">
        <w:t>risk</w:t>
      </w:r>
      <w:r w:rsidR="002535B0">
        <w:t>er</w:t>
      </w:r>
      <w:r w:rsidR="008F6198">
        <w:t>na</w:t>
      </w:r>
      <w:r w:rsidR="006C56D6">
        <w:t>s sannolikhet och konsekvens ska</w:t>
      </w:r>
      <w:r w:rsidR="00236689">
        <w:t xml:space="preserve"> </w:t>
      </w:r>
      <w:r w:rsidR="002535B0">
        <w:t>varje risk</w:t>
      </w:r>
      <w:r w:rsidR="008414F2">
        <w:t xml:space="preserve"> </w:t>
      </w:r>
      <w:r w:rsidR="008F6198">
        <w:t xml:space="preserve">tilldelas </w:t>
      </w:r>
      <w:r w:rsidR="008414F2">
        <w:t xml:space="preserve">ett </w:t>
      </w:r>
      <w:r w:rsidR="008414F2" w:rsidRPr="00530ED5">
        <w:t>riskvärde</w:t>
      </w:r>
      <w:r w:rsidR="00E96968" w:rsidRPr="00A91A1D">
        <w:t>.</w:t>
      </w:r>
      <w:r w:rsidR="00F334B8">
        <w:t xml:space="preserve">  Riskerna ska bedömas </w:t>
      </w:r>
      <w:r w:rsidR="005A651C">
        <w:t>utifrån hur de påverkar leveransen av den samhällsviktiga tjänsten.</w:t>
      </w:r>
    </w:p>
    <w:p w14:paraId="693C008B" w14:textId="1685E041" w:rsidR="002411FA" w:rsidRDefault="00651632" w:rsidP="005A14EF">
      <w:pPr>
        <w:pStyle w:val="Brdtext"/>
      </w:pPr>
      <w:r>
        <w:rPr>
          <w:b/>
        </w:rPr>
        <w:t>4</w:t>
      </w:r>
      <w:r w:rsidR="001A00C0" w:rsidRPr="005A14EF">
        <w:rPr>
          <w:b/>
        </w:rPr>
        <w:t xml:space="preserve"> </w:t>
      </w:r>
      <w:r w:rsidR="00D90804" w:rsidRPr="005A14EF">
        <w:rPr>
          <w:b/>
        </w:rPr>
        <w:t>§</w:t>
      </w:r>
      <w:r w:rsidR="00D90804">
        <w:tab/>
      </w:r>
      <w:r w:rsidR="00780DA2">
        <w:t xml:space="preserve">En </w:t>
      </w:r>
      <w:r w:rsidR="004958A6">
        <w:t>r</w:t>
      </w:r>
      <w:r w:rsidR="002411FA">
        <w:t>iskanalys ska</w:t>
      </w:r>
      <w:r w:rsidR="00780DA2">
        <w:t xml:space="preserve"> </w:t>
      </w:r>
      <w:r w:rsidR="00704B1C">
        <w:t xml:space="preserve">även </w:t>
      </w:r>
      <w:r w:rsidR="00780DA2">
        <w:t>innehålla föl</w:t>
      </w:r>
      <w:r w:rsidR="002411FA">
        <w:t xml:space="preserve">jande </w:t>
      </w:r>
      <w:r w:rsidR="002535B0">
        <w:t>uppgifter</w:t>
      </w:r>
      <w:r w:rsidR="00780DA2">
        <w:t xml:space="preserve"> avseende </w:t>
      </w:r>
      <w:r w:rsidR="004958A6">
        <w:t>varje risk</w:t>
      </w:r>
      <w:r w:rsidR="00CD0901">
        <w:t xml:space="preserve"> som leverantören </w:t>
      </w:r>
      <w:r w:rsidR="00780DA2">
        <w:t xml:space="preserve">har </w:t>
      </w:r>
      <w:r w:rsidR="00CD0901">
        <w:t>identifierat</w:t>
      </w:r>
      <w:r w:rsidR="002411FA">
        <w:t>:</w:t>
      </w:r>
    </w:p>
    <w:p w14:paraId="3DEDC676" w14:textId="4C967A38" w:rsidR="002411FA" w:rsidRDefault="004958A6" w:rsidP="005A14EF">
      <w:pPr>
        <w:pStyle w:val="Brdtext"/>
        <w:numPr>
          <w:ilvl w:val="0"/>
          <w:numId w:val="28"/>
        </w:numPr>
      </w:pPr>
      <w:r>
        <w:t xml:space="preserve"> </w:t>
      </w:r>
      <w:r w:rsidR="00B8661C">
        <w:t>r</w:t>
      </w:r>
      <w:r w:rsidR="004A1772">
        <w:t xml:space="preserve">iskens teoretiska konsekvenser, </w:t>
      </w:r>
    </w:p>
    <w:p w14:paraId="4090C046" w14:textId="42DC5CEE" w:rsidR="004958A6" w:rsidRDefault="004958A6" w:rsidP="004958A6">
      <w:pPr>
        <w:pStyle w:val="Brdtext"/>
        <w:numPr>
          <w:ilvl w:val="0"/>
          <w:numId w:val="28"/>
        </w:numPr>
      </w:pPr>
      <w:r>
        <w:t xml:space="preserve"> s</w:t>
      </w:r>
      <w:r w:rsidR="002411FA">
        <w:t>annolikhet</w:t>
      </w:r>
      <w:r>
        <w:t xml:space="preserve"> för</w:t>
      </w:r>
      <w:r w:rsidR="002411FA">
        <w:t xml:space="preserve"> att konsekvense</w:t>
      </w:r>
      <w:r w:rsidR="00704B1C">
        <w:t>r</w:t>
      </w:r>
      <w:r w:rsidR="002411FA">
        <w:t xml:space="preserve"> inträffar</w:t>
      </w:r>
      <w:r w:rsidR="00CD0901">
        <w:t>,</w:t>
      </w:r>
    </w:p>
    <w:p w14:paraId="5592BAEA" w14:textId="1AE5F2DA" w:rsidR="004958A6" w:rsidRDefault="00393E7A" w:rsidP="002411FA">
      <w:pPr>
        <w:pStyle w:val="Brdtext"/>
        <w:numPr>
          <w:ilvl w:val="0"/>
          <w:numId w:val="28"/>
        </w:numPr>
      </w:pPr>
      <w:r>
        <w:t xml:space="preserve"> </w:t>
      </w:r>
      <w:r w:rsidR="004958A6">
        <w:t>k</w:t>
      </w:r>
      <w:r w:rsidR="002411FA">
        <w:t>onsekvense</w:t>
      </w:r>
      <w:r w:rsidR="00704B1C">
        <w:t>r</w:t>
      </w:r>
      <w:r w:rsidR="002411FA">
        <w:t xml:space="preserve">s </w:t>
      </w:r>
      <w:r w:rsidR="004958A6">
        <w:t xml:space="preserve">allvarlighetsgrad, och </w:t>
      </w:r>
    </w:p>
    <w:p w14:paraId="2863E522" w14:textId="68F1BA65" w:rsidR="002411FA" w:rsidRDefault="004958A6" w:rsidP="005A14EF">
      <w:pPr>
        <w:pStyle w:val="Brdtext"/>
        <w:numPr>
          <w:ilvl w:val="0"/>
          <w:numId w:val="28"/>
        </w:numPr>
      </w:pPr>
      <w:r>
        <w:t xml:space="preserve"> b</w:t>
      </w:r>
      <w:r w:rsidR="002411FA">
        <w:t xml:space="preserve">efintliga </w:t>
      </w:r>
      <w:r>
        <w:t>säkerhets</w:t>
      </w:r>
      <w:r w:rsidR="002411FA">
        <w:t xml:space="preserve">åtgärder </w:t>
      </w:r>
      <w:r w:rsidR="007423E1">
        <w:t>som påverkar</w:t>
      </w:r>
      <w:r>
        <w:t xml:space="preserve"> risken</w:t>
      </w:r>
      <w:r w:rsidR="007423E1">
        <w:t>s sannolikhet eller konsekvens.</w:t>
      </w:r>
    </w:p>
    <w:p w14:paraId="14025EB8" w14:textId="66A26DC8" w:rsidR="002845AD" w:rsidRDefault="00BA3479" w:rsidP="0083147A">
      <w:pPr>
        <w:pStyle w:val="Brdtext"/>
      </w:pPr>
      <w:r>
        <w:rPr>
          <w:b/>
        </w:rPr>
        <w:lastRenderedPageBreak/>
        <w:t>5</w:t>
      </w:r>
      <w:r w:rsidR="007B0FD7" w:rsidRPr="005A14EF">
        <w:rPr>
          <w:b/>
        </w:rPr>
        <w:t xml:space="preserve"> §</w:t>
      </w:r>
      <w:r w:rsidR="00B010B6">
        <w:tab/>
      </w:r>
      <w:r w:rsidR="007B0FD7">
        <w:t>Enligt 12 § lagen om informationssäkerhet för samhällsviktiga och digitala tjänster ska riskanalysen dokumenteras och uppdateras årligen. Vid uppdatering</w:t>
      </w:r>
      <w:r w:rsidR="008827B0">
        <w:t xml:space="preserve"> av riskanalysen</w:t>
      </w:r>
      <w:r w:rsidR="007B0FD7">
        <w:t xml:space="preserve"> ska en förnyad </w:t>
      </w:r>
      <w:r w:rsidR="007B0FD7" w:rsidRPr="00530ED5">
        <w:t>riskvärdering</w:t>
      </w:r>
      <w:r w:rsidR="007B0FD7">
        <w:t xml:space="preserve"> ske enligt</w:t>
      </w:r>
      <w:r w:rsidR="009E2BFE">
        <w:t xml:space="preserve"> 2 kap.</w:t>
      </w:r>
      <w:r w:rsidR="007B0FD7">
        <w:t xml:space="preserve"> 3 §</w:t>
      </w:r>
      <w:r w:rsidR="009E2BFE">
        <w:t xml:space="preserve"> </w:t>
      </w:r>
      <w:r w:rsidR="007B0FD7">
        <w:t>mot bakgrund av de säkerhetsåtgärder som har genomförts</w:t>
      </w:r>
      <w:r w:rsidR="00426DF7">
        <w:t xml:space="preserve"> </w:t>
      </w:r>
      <w:r w:rsidR="008827B0">
        <w:t>efter</w:t>
      </w:r>
      <w:r w:rsidR="00426DF7">
        <w:t xml:space="preserve"> den </w:t>
      </w:r>
      <w:r w:rsidR="002D2FA5">
        <w:t>föregående</w:t>
      </w:r>
      <w:r w:rsidR="00426DF7">
        <w:t xml:space="preserve"> riskanalysen. </w:t>
      </w:r>
    </w:p>
    <w:p w14:paraId="67A3297E" w14:textId="3CDA65A5" w:rsidR="00C11026" w:rsidRDefault="00AD161A" w:rsidP="0083147A">
      <w:pPr>
        <w:pStyle w:val="Brdtext"/>
      </w:pPr>
      <w:r w:rsidRPr="004136A5">
        <w:rPr>
          <w:b/>
          <w:bCs/>
        </w:rPr>
        <w:t>6 §</w:t>
      </w:r>
      <w:r w:rsidR="00B010B6">
        <w:tab/>
      </w:r>
      <w:r>
        <w:t xml:space="preserve">I </w:t>
      </w:r>
      <w:r w:rsidR="00A72DF8">
        <w:t>leverantörens</w:t>
      </w:r>
      <w:r>
        <w:t xml:space="preserve"> riskanalys </w:t>
      </w:r>
      <w:r w:rsidR="00A72DF8">
        <w:t xml:space="preserve">avseende </w:t>
      </w:r>
      <w:r>
        <w:t>OT ska</w:t>
      </w:r>
      <w:r w:rsidR="00C11026">
        <w:t xml:space="preserve"> särskild </w:t>
      </w:r>
      <w:r>
        <w:t xml:space="preserve">hänsyn tas </w:t>
      </w:r>
      <w:r w:rsidR="00AB0267">
        <w:t>till</w:t>
      </w:r>
      <w:r>
        <w:t xml:space="preserve"> de unika</w:t>
      </w:r>
      <w:r w:rsidR="00C11026">
        <w:t xml:space="preserve"> egenskaperna i </w:t>
      </w:r>
      <w:r w:rsidR="00AB0267">
        <w:t xml:space="preserve">och förutsättningarna för </w:t>
      </w:r>
      <w:r w:rsidR="00A72DF8">
        <w:t>leverantörens</w:t>
      </w:r>
      <w:r w:rsidR="005554F5">
        <w:t xml:space="preserve"> informations</w:t>
      </w:r>
      <w:r w:rsidR="00A72DF8">
        <w:t>s</w:t>
      </w:r>
      <w:r w:rsidR="005554F5">
        <w:t xml:space="preserve">ystem.  </w:t>
      </w:r>
    </w:p>
    <w:p w14:paraId="5B2428D0" w14:textId="77777777" w:rsidR="002845AD" w:rsidRDefault="002845AD">
      <w:pPr>
        <w:spacing w:after="160" w:line="0" w:lineRule="auto"/>
        <w:rPr>
          <w:rFonts w:asciiTheme="majorHAnsi" w:hAnsiTheme="majorHAnsi" w:cstheme="majorHAnsi"/>
        </w:rPr>
      </w:pPr>
      <w:r>
        <w:br w:type="page"/>
      </w:r>
    </w:p>
    <w:p w14:paraId="49DD3307" w14:textId="41175D1E" w:rsidR="007B0FD7" w:rsidRDefault="002845AD" w:rsidP="002845AD">
      <w:pPr>
        <w:pStyle w:val="Rubrik2"/>
      </w:pPr>
      <w:r>
        <w:lastRenderedPageBreak/>
        <w:t>3 kap. Informationssäkerhet</w:t>
      </w:r>
      <w:r w:rsidR="00E25930">
        <w:t>skrav</w:t>
      </w:r>
    </w:p>
    <w:p w14:paraId="0E922D4A" w14:textId="6DE8A6C1" w:rsidR="007B0FD7" w:rsidRDefault="007B0FD7" w:rsidP="007B0FD7">
      <w:pPr>
        <w:pStyle w:val="Brdtext"/>
      </w:pPr>
    </w:p>
    <w:p w14:paraId="4C2CE754" w14:textId="0EC84240" w:rsidR="00B4528B" w:rsidRDefault="00C11026" w:rsidP="00950C57">
      <w:pPr>
        <w:pStyle w:val="Brdtext"/>
        <w:spacing w:after="120"/>
      </w:pPr>
      <w:r w:rsidRPr="00056D07">
        <w:rPr>
          <w:b/>
          <w:bCs/>
        </w:rPr>
        <w:t>1 §</w:t>
      </w:r>
      <w:r>
        <w:tab/>
      </w:r>
      <w:r w:rsidR="00B4528B">
        <w:t>U</w:t>
      </w:r>
      <w:r w:rsidR="002845AD">
        <w:t xml:space="preserve">töver </w:t>
      </w:r>
      <w:r w:rsidR="00B4528B">
        <w:t>vad</w:t>
      </w:r>
      <w:r w:rsidR="002845AD">
        <w:t xml:space="preserve"> som </w:t>
      </w:r>
      <w:r w:rsidR="00B4528B">
        <w:t xml:space="preserve">anges </w:t>
      </w:r>
      <w:r w:rsidR="005C3244">
        <w:t>s</w:t>
      </w:r>
      <w:r w:rsidR="00B4528B">
        <w:t>om krav</w:t>
      </w:r>
      <w:r w:rsidR="005C3244">
        <w:t xml:space="preserve"> utifrån </w:t>
      </w:r>
      <w:r w:rsidR="002845AD" w:rsidRPr="00A16FC0">
        <w:t>riskanalys</w:t>
      </w:r>
      <w:r w:rsidR="00C62CA0">
        <w:t xml:space="preserve"> enligt 2 kap.</w:t>
      </w:r>
      <w:r w:rsidR="00B4528B">
        <w:t xml:space="preserve"> ska leverantören</w:t>
      </w:r>
      <w:r w:rsidR="002845AD">
        <w:t xml:space="preserve"> </w:t>
      </w:r>
      <w:r w:rsidR="00773301">
        <w:t>uppfylla</w:t>
      </w:r>
      <w:r w:rsidR="002845AD" w:rsidRPr="00A16FC0">
        <w:t xml:space="preserve"> </w:t>
      </w:r>
      <w:r>
        <w:t>informationssäkerhetskrav</w:t>
      </w:r>
      <w:r w:rsidR="00E25930">
        <w:t xml:space="preserve"> som anges i 2 </w:t>
      </w:r>
      <w:r w:rsidR="009240C9">
        <w:t>–</w:t>
      </w:r>
      <w:r w:rsidR="00E25930">
        <w:t xml:space="preserve"> 6</w:t>
      </w:r>
      <w:r w:rsidR="009240C9">
        <w:t xml:space="preserve"> §§</w:t>
      </w:r>
      <w:r>
        <w:t xml:space="preserve">. </w:t>
      </w:r>
    </w:p>
    <w:p w14:paraId="71B87A54" w14:textId="65462B09" w:rsidR="002845AD" w:rsidRDefault="00DC0CED" w:rsidP="00950C57">
      <w:pPr>
        <w:pStyle w:val="Brdtext"/>
        <w:spacing w:after="120"/>
      </w:pPr>
      <w:r>
        <w:t xml:space="preserve">Leverantören ska </w:t>
      </w:r>
      <w:r w:rsidR="00CE51EA">
        <w:t>dokumentera de p</w:t>
      </w:r>
      <w:r w:rsidR="002845AD">
        <w:t>rocesser och metoder</w:t>
      </w:r>
      <w:r w:rsidR="00CE51EA">
        <w:t xml:space="preserve"> som </w:t>
      </w:r>
      <w:r>
        <w:t>används för att uppfylla informationssäkerhetskraven</w:t>
      </w:r>
      <w:r w:rsidR="00B4528B">
        <w:t>. Leverantören ska även</w:t>
      </w:r>
      <w:r w:rsidR="00CE51EA">
        <w:t xml:space="preserve"> </w:t>
      </w:r>
      <w:r w:rsidR="005554F5">
        <w:t xml:space="preserve">utföra </w:t>
      </w:r>
      <w:r w:rsidR="005942D0">
        <w:t>loggning</w:t>
      </w:r>
      <w:r w:rsidR="00903ADF">
        <w:t xml:space="preserve"> </w:t>
      </w:r>
      <w:r>
        <w:t xml:space="preserve">i syfte att möjliggöra </w:t>
      </w:r>
      <w:r w:rsidR="007F151B">
        <w:t>upptäck</w:t>
      </w:r>
      <w:r>
        <w:t>t</w:t>
      </w:r>
      <w:r w:rsidR="006B0C14">
        <w:t xml:space="preserve"> och </w:t>
      </w:r>
      <w:r w:rsidR="007F151B">
        <w:t>spår</w:t>
      </w:r>
      <w:r>
        <w:t>ning</w:t>
      </w:r>
      <w:r w:rsidR="007F151B">
        <w:t xml:space="preserve"> </w:t>
      </w:r>
      <w:r>
        <w:t>av</w:t>
      </w:r>
      <w:r w:rsidR="007F151B">
        <w:t xml:space="preserve"> </w:t>
      </w:r>
      <w:r w:rsidR="00CB47F1">
        <w:t>transaktioner och händelser</w:t>
      </w:r>
      <w:r w:rsidR="007F151B">
        <w:t>.</w:t>
      </w:r>
    </w:p>
    <w:p w14:paraId="4CBDCC2C" w14:textId="77777777" w:rsidR="009919F4" w:rsidRDefault="009919F4" w:rsidP="002845AD">
      <w:pPr>
        <w:pStyle w:val="Brdtext"/>
        <w:spacing w:after="120"/>
        <w:rPr>
          <w:b/>
          <w:bCs/>
        </w:rPr>
      </w:pPr>
    </w:p>
    <w:p w14:paraId="08167613" w14:textId="1BB36887" w:rsidR="002845AD" w:rsidRPr="00A16FC0" w:rsidRDefault="00143673" w:rsidP="002845AD">
      <w:pPr>
        <w:pStyle w:val="Brdtext"/>
        <w:spacing w:after="120"/>
      </w:pPr>
      <w:r w:rsidRPr="00B41190">
        <w:rPr>
          <w:b/>
          <w:bCs/>
        </w:rPr>
        <w:t>2</w:t>
      </w:r>
      <w:r w:rsidR="002845AD" w:rsidRPr="00B41190">
        <w:rPr>
          <w:b/>
          <w:bCs/>
        </w:rPr>
        <w:t xml:space="preserve"> §</w:t>
      </w:r>
      <w:r w:rsidR="002845AD" w:rsidRPr="00A16FC0">
        <w:tab/>
      </w:r>
      <w:r w:rsidR="008756F0">
        <w:t>L</w:t>
      </w:r>
      <w:r w:rsidR="002845AD" w:rsidRPr="00A16FC0">
        <w:t>everantör</w:t>
      </w:r>
      <w:r w:rsidR="008756F0">
        <w:t>en</w:t>
      </w:r>
      <w:r w:rsidR="002845AD" w:rsidRPr="00A16FC0">
        <w:t xml:space="preserve"> ska</w:t>
      </w:r>
      <w:r w:rsidR="00CC5A24">
        <w:t xml:space="preserve"> som en del av sitt systematiska informationssäkerhetsarbete </w:t>
      </w:r>
    </w:p>
    <w:p w14:paraId="60BC7B89" w14:textId="2270B6F6" w:rsidR="002845AD" w:rsidRPr="00A16FC0" w:rsidRDefault="008756F0" w:rsidP="002845AD">
      <w:pPr>
        <w:pStyle w:val="Brdtext"/>
        <w:numPr>
          <w:ilvl w:val="0"/>
          <w:numId w:val="34"/>
        </w:numPr>
        <w:tabs>
          <w:tab w:val="clear" w:pos="567"/>
        </w:tabs>
        <w:spacing w:after="120"/>
      </w:pPr>
      <w:r>
        <w:t>ange</w:t>
      </w:r>
      <w:r w:rsidR="002845AD" w:rsidRPr="00A16FC0">
        <w:t xml:space="preserve"> vem eller vilka </w:t>
      </w:r>
      <w:r>
        <w:t xml:space="preserve">personer </w:t>
      </w:r>
      <w:r w:rsidR="002845AD" w:rsidRPr="00A16FC0">
        <w:t xml:space="preserve">som har ansvar för informationssäkerhet i </w:t>
      </w:r>
      <w:r w:rsidR="008F79D3">
        <w:t xml:space="preserve">leverantörens </w:t>
      </w:r>
      <w:r w:rsidR="002845AD" w:rsidRPr="00A16FC0">
        <w:t>OT,</w:t>
      </w:r>
    </w:p>
    <w:p w14:paraId="4CA968FF" w14:textId="7D738CF2" w:rsidR="002845AD" w:rsidRPr="00A16FC0" w:rsidRDefault="007A3315" w:rsidP="002845AD">
      <w:pPr>
        <w:pStyle w:val="Brdtext"/>
        <w:numPr>
          <w:ilvl w:val="0"/>
          <w:numId w:val="34"/>
        </w:numPr>
        <w:tabs>
          <w:tab w:val="clear" w:pos="567"/>
        </w:tabs>
        <w:spacing w:after="120"/>
      </w:pPr>
      <w:r>
        <w:t xml:space="preserve">införa processer </w:t>
      </w:r>
      <w:r w:rsidR="00C62CA0">
        <w:t xml:space="preserve">avseende </w:t>
      </w:r>
      <w:r w:rsidR="002845AD" w:rsidRPr="00A16FC0">
        <w:t xml:space="preserve">säkerhet, </w:t>
      </w:r>
      <w:r w:rsidR="000C6A06">
        <w:t xml:space="preserve">liksom </w:t>
      </w:r>
      <w:r w:rsidR="002845AD" w:rsidRPr="00A16FC0">
        <w:t>verifieringar och uppdateringar i OT, samt</w:t>
      </w:r>
    </w:p>
    <w:p w14:paraId="1A2DD5EE" w14:textId="074E6A81" w:rsidR="002845AD" w:rsidRDefault="008756F0" w:rsidP="002845AD">
      <w:pPr>
        <w:pStyle w:val="Brdtext"/>
        <w:numPr>
          <w:ilvl w:val="0"/>
          <w:numId w:val="34"/>
        </w:numPr>
        <w:tabs>
          <w:tab w:val="clear" w:pos="567"/>
        </w:tabs>
        <w:spacing w:after="120"/>
      </w:pPr>
      <w:r>
        <w:t>fastställa och upprätthålla</w:t>
      </w:r>
      <w:r w:rsidR="002845AD" w:rsidRPr="00A16FC0">
        <w:t xml:space="preserve"> regler och metoder för fjärråtkomst</w:t>
      </w:r>
      <w:r w:rsidR="0059243C">
        <w:t xml:space="preserve"> till leverantörens nätverk och informationssystem</w:t>
      </w:r>
      <w:r w:rsidR="002845AD" w:rsidRPr="00A16FC0">
        <w:t xml:space="preserve">.  </w:t>
      </w:r>
    </w:p>
    <w:p w14:paraId="6B74D663" w14:textId="77777777" w:rsidR="002845AD" w:rsidRPr="00A16FC0" w:rsidRDefault="002845AD" w:rsidP="002845AD">
      <w:pPr>
        <w:pStyle w:val="Brdtext"/>
        <w:spacing w:after="120"/>
      </w:pPr>
    </w:p>
    <w:p w14:paraId="7C518661" w14:textId="3169B5C9" w:rsidR="002845AD" w:rsidRPr="00A16FC0" w:rsidRDefault="00143673" w:rsidP="002845AD">
      <w:pPr>
        <w:pStyle w:val="Brdtext"/>
        <w:spacing w:after="120"/>
      </w:pPr>
      <w:r w:rsidRPr="00E00E1B">
        <w:rPr>
          <w:b/>
          <w:bCs/>
        </w:rPr>
        <w:t>3</w:t>
      </w:r>
      <w:r w:rsidR="002845AD" w:rsidRPr="00E00E1B">
        <w:rPr>
          <w:b/>
          <w:bCs/>
        </w:rPr>
        <w:t xml:space="preserve"> §</w:t>
      </w:r>
      <w:r w:rsidR="002845AD" w:rsidRPr="00A16FC0">
        <w:tab/>
      </w:r>
      <w:r w:rsidR="001B11B4">
        <w:t>L</w:t>
      </w:r>
      <w:r w:rsidR="002845AD" w:rsidRPr="00A16FC0">
        <w:t>everantör</w:t>
      </w:r>
      <w:r w:rsidR="001B11B4">
        <w:t>en</w:t>
      </w:r>
      <w:r w:rsidR="002845AD" w:rsidRPr="00A16FC0">
        <w:t xml:space="preserve"> ska </w:t>
      </w:r>
      <w:r w:rsidR="00000F4F">
        <w:t xml:space="preserve">upprätta </w:t>
      </w:r>
      <w:r w:rsidR="00F757F3">
        <w:t>en systemförteckning</w:t>
      </w:r>
      <w:r w:rsidR="00F757F3" w:rsidRPr="00A16FC0">
        <w:t xml:space="preserve"> </w:t>
      </w:r>
      <w:r w:rsidR="002845AD" w:rsidRPr="00A16FC0">
        <w:t>över</w:t>
      </w:r>
      <w:r w:rsidR="001B11B4">
        <w:t xml:space="preserve"> sin</w:t>
      </w:r>
      <w:r w:rsidR="002845AD" w:rsidRPr="00A16FC0">
        <w:t xml:space="preserve"> </w:t>
      </w:r>
      <w:r w:rsidR="00000F4F">
        <w:t xml:space="preserve">IT och OT </w:t>
      </w:r>
      <w:r w:rsidR="002845AD" w:rsidRPr="00A16FC0">
        <w:t>genom att</w:t>
      </w:r>
    </w:p>
    <w:p w14:paraId="5E9D1F2A" w14:textId="36E01ADE" w:rsidR="002845AD" w:rsidRPr="00A16FC0" w:rsidRDefault="002845AD" w:rsidP="002845AD">
      <w:pPr>
        <w:pStyle w:val="Brdtext"/>
        <w:numPr>
          <w:ilvl w:val="0"/>
          <w:numId w:val="35"/>
        </w:numPr>
        <w:tabs>
          <w:tab w:val="clear" w:pos="567"/>
        </w:tabs>
        <w:spacing w:after="120"/>
      </w:pPr>
      <w:r w:rsidRPr="00A16FC0">
        <w:t>kartlägga och</w:t>
      </w:r>
      <w:r w:rsidR="000473AD">
        <w:t xml:space="preserve"> analysera </w:t>
      </w:r>
      <w:r w:rsidR="007D07A1">
        <w:t xml:space="preserve">de </w:t>
      </w:r>
      <w:r w:rsidR="00000F4F">
        <w:t>IT</w:t>
      </w:r>
      <w:r w:rsidR="001B11B4">
        <w:t>-</w:t>
      </w:r>
      <w:r w:rsidR="00000F4F">
        <w:t xml:space="preserve"> och OT</w:t>
      </w:r>
      <w:r w:rsidR="001B11B4">
        <w:t>-</w:t>
      </w:r>
      <w:r w:rsidRPr="00A16FC0">
        <w:t xml:space="preserve">tjänster </w:t>
      </w:r>
      <w:r w:rsidR="00C62CA0">
        <w:t>samt</w:t>
      </w:r>
      <w:r w:rsidRPr="00A16FC0">
        <w:t xml:space="preserve"> </w:t>
      </w:r>
      <w:r w:rsidR="000361B0">
        <w:t xml:space="preserve">nätverk och informationssystem </w:t>
      </w:r>
      <w:r w:rsidR="007762C0">
        <w:t xml:space="preserve">som används </w:t>
      </w:r>
      <w:r w:rsidR="00C62CA0">
        <w:t>vid</w:t>
      </w:r>
      <w:r w:rsidR="007762C0">
        <w:t xml:space="preserve"> </w:t>
      </w:r>
      <w:r w:rsidR="000C6A06">
        <w:t>tillhandahållande</w:t>
      </w:r>
      <w:r w:rsidR="007762C0">
        <w:t xml:space="preserve"> av samhällsviktig</w:t>
      </w:r>
      <w:r w:rsidR="000C6A06">
        <w:t>a</w:t>
      </w:r>
      <w:r w:rsidR="00E00E1B">
        <w:t xml:space="preserve"> </w:t>
      </w:r>
      <w:r w:rsidR="007762C0">
        <w:t>tjänst</w:t>
      </w:r>
      <w:r w:rsidR="000C6A06">
        <w:t>er</w:t>
      </w:r>
      <w:r w:rsidR="00C62CA0">
        <w:t>,</w:t>
      </w:r>
    </w:p>
    <w:p w14:paraId="4CC165B3" w14:textId="22051A29" w:rsidR="002845AD" w:rsidRPr="00A16FC0" w:rsidRDefault="002845AD" w:rsidP="002845AD">
      <w:pPr>
        <w:pStyle w:val="Brdtext"/>
        <w:numPr>
          <w:ilvl w:val="0"/>
          <w:numId w:val="35"/>
        </w:numPr>
        <w:tabs>
          <w:tab w:val="clear" w:pos="567"/>
        </w:tabs>
        <w:spacing w:after="120"/>
      </w:pPr>
      <w:r w:rsidRPr="00A16FC0">
        <w:t>inventera vilk</w:t>
      </w:r>
      <w:r w:rsidR="001B11B4">
        <w:t>a</w:t>
      </w:r>
      <w:r w:rsidRPr="00A16FC0">
        <w:t xml:space="preserve"> hårdvar</w:t>
      </w:r>
      <w:r w:rsidR="001B11B4">
        <w:t>or</w:t>
      </w:r>
      <w:r w:rsidRPr="00A16FC0">
        <w:t xml:space="preserve"> som</w:t>
      </w:r>
      <w:r w:rsidR="001B11B4">
        <w:t xml:space="preserve"> används</w:t>
      </w:r>
      <w:r w:rsidRPr="00A16FC0">
        <w:t xml:space="preserve"> i </w:t>
      </w:r>
      <w:r w:rsidR="002F39C8">
        <w:t xml:space="preserve">leverantörens </w:t>
      </w:r>
      <w:r w:rsidRPr="00A16FC0">
        <w:t>IT och O</w:t>
      </w:r>
      <w:r w:rsidR="002F39C8">
        <w:t>T</w:t>
      </w:r>
      <w:r w:rsidRPr="00A16FC0">
        <w:t xml:space="preserve">, </w:t>
      </w:r>
    </w:p>
    <w:p w14:paraId="32675CE5" w14:textId="2C071753" w:rsidR="002845AD" w:rsidRPr="00A16FC0" w:rsidRDefault="002845AD" w:rsidP="002845AD">
      <w:pPr>
        <w:pStyle w:val="Brdtext"/>
        <w:numPr>
          <w:ilvl w:val="0"/>
          <w:numId w:val="35"/>
        </w:numPr>
        <w:tabs>
          <w:tab w:val="clear" w:pos="567"/>
        </w:tabs>
        <w:spacing w:after="120"/>
      </w:pPr>
      <w:r w:rsidRPr="00A16FC0">
        <w:t>inventera vilka mjukvaror som</w:t>
      </w:r>
      <w:r w:rsidR="001B11B4">
        <w:t xml:space="preserve"> används</w:t>
      </w:r>
      <w:r w:rsidRPr="00A16FC0">
        <w:t xml:space="preserve"> i </w:t>
      </w:r>
      <w:r w:rsidR="002F39C8">
        <w:t xml:space="preserve">leverantörens </w:t>
      </w:r>
      <w:r w:rsidRPr="00A16FC0">
        <w:t xml:space="preserve">IT och OT, </w:t>
      </w:r>
    </w:p>
    <w:p w14:paraId="42638100" w14:textId="1AED6C56" w:rsidR="002845AD" w:rsidRPr="00A16FC0" w:rsidRDefault="00273DEB" w:rsidP="002845AD">
      <w:pPr>
        <w:pStyle w:val="Brdtext"/>
        <w:numPr>
          <w:ilvl w:val="0"/>
          <w:numId w:val="35"/>
        </w:numPr>
        <w:tabs>
          <w:tab w:val="clear" w:pos="567"/>
        </w:tabs>
        <w:spacing w:after="120"/>
      </w:pPr>
      <w:r>
        <w:t>identifiera</w:t>
      </w:r>
      <w:r w:rsidR="002845AD" w:rsidRPr="00A16FC0">
        <w:t xml:space="preserve"> vilka </w:t>
      </w:r>
      <w:r w:rsidR="007762C0">
        <w:t xml:space="preserve">interna och externa </w:t>
      </w:r>
      <w:r w:rsidR="002845AD" w:rsidRPr="00A16FC0">
        <w:t>informationstillgångar</w:t>
      </w:r>
      <w:r w:rsidR="000C6A06">
        <w:t xml:space="preserve"> liksom</w:t>
      </w:r>
      <w:r w:rsidR="002845AD" w:rsidRPr="00A16FC0">
        <w:t xml:space="preserve"> vilk</w:t>
      </w:r>
      <w:r w:rsidR="001B11B4">
        <w:t>a</w:t>
      </w:r>
      <w:r w:rsidR="002845AD" w:rsidRPr="00A16FC0">
        <w:t xml:space="preserve"> hårdvar</w:t>
      </w:r>
      <w:r w:rsidR="001B11B4">
        <w:t>or</w:t>
      </w:r>
      <w:r w:rsidR="002845AD" w:rsidRPr="00A16FC0">
        <w:t xml:space="preserve"> och mjukvaror som är </w:t>
      </w:r>
      <w:r w:rsidR="007D07A1">
        <w:t xml:space="preserve">mest </w:t>
      </w:r>
      <w:r w:rsidR="002845AD" w:rsidRPr="00A16FC0">
        <w:t>kritiska för</w:t>
      </w:r>
      <w:r w:rsidR="00E929C9">
        <w:t xml:space="preserve"> leverantörens</w:t>
      </w:r>
      <w:r w:rsidR="002845AD" w:rsidRPr="00A16FC0">
        <w:t xml:space="preserve"> </w:t>
      </w:r>
      <w:r w:rsidR="000C6A06">
        <w:t>tillhandahållande</w:t>
      </w:r>
      <w:r w:rsidR="002845AD" w:rsidRPr="00A16FC0">
        <w:t xml:space="preserve"> av samhällsviktig</w:t>
      </w:r>
      <w:r w:rsidR="000C6A06">
        <w:t>a</w:t>
      </w:r>
      <w:r w:rsidR="002845AD" w:rsidRPr="00A16FC0">
        <w:t xml:space="preserve"> tjänst</w:t>
      </w:r>
      <w:r w:rsidR="000C6A06">
        <w:t>er</w:t>
      </w:r>
      <w:r w:rsidR="002845AD" w:rsidRPr="00A16FC0">
        <w:t>, samt</w:t>
      </w:r>
    </w:p>
    <w:p w14:paraId="1CDF8298" w14:textId="17F61687" w:rsidR="007762C0" w:rsidRDefault="00E929C9" w:rsidP="007762C0">
      <w:pPr>
        <w:pStyle w:val="Brdtext"/>
        <w:numPr>
          <w:ilvl w:val="0"/>
          <w:numId w:val="35"/>
        </w:numPr>
      </w:pPr>
      <w:r>
        <w:t>upprätta</w:t>
      </w:r>
      <w:r w:rsidR="002845AD" w:rsidRPr="00A16FC0">
        <w:t xml:space="preserve"> en nätverkskarta </w:t>
      </w:r>
      <w:r w:rsidR="002F39C8">
        <w:t>avseende leverantörens IT och OT</w:t>
      </w:r>
      <w:r w:rsidR="002845AD" w:rsidRPr="00A16FC0">
        <w:t>.</w:t>
      </w:r>
      <w:r w:rsidR="007762C0" w:rsidRPr="007762C0">
        <w:t xml:space="preserve"> </w:t>
      </w:r>
    </w:p>
    <w:p w14:paraId="277EC7E5" w14:textId="7CBD7D62" w:rsidR="00000F4F" w:rsidRDefault="00F757F3" w:rsidP="001C30E4">
      <w:pPr>
        <w:pStyle w:val="Brdtext"/>
        <w:spacing w:after="120"/>
      </w:pPr>
      <w:r>
        <w:t xml:space="preserve">Systemförteckningen </w:t>
      </w:r>
      <w:r w:rsidR="001B11B4">
        <w:t>ska</w:t>
      </w:r>
      <w:r w:rsidR="00A002FF">
        <w:t xml:space="preserve"> hållas uppdaterad.  </w:t>
      </w:r>
    </w:p>
    <w:p w14:paraId="0C801C07" w14:textId="77777777" w:rsidR="00BD52E2" w:rsidRDefault="00BD52E2" w:rsidP="001C30E4">
      <w:pPr>
        <w:pStyle w:val="Brdtext"/>
        <w:spacing w:after="120"/>
      </w:pPr>
    </w:p>
    <w:p w14:paraId="02115339" w14:textId="1A1DCFE3" w:rsidR="002845AD" w:rsidRPr="00A16FC0" w:rsidRDefault="00143673" w:rsidP="001C30E4">
      <w:pPr>
        <w:pStyle w:val="Brdtext"/>
        <w:spacing w:after="120"/>
      </w:pPr>
      <w:r w:rsidRPr="005F358A">
        <w:rPr>
          <w:b/>
          <w:bCs/>
        </w:rPr>
        <w:t>4</w:t>
      </w:r>
      <w:r w:rsidR="002845AD" w:rsidRPr="005F358A">
        <w:rPr>
          <w:b/>
          <w:bCs/>
        </w:rPr>
        <w:t xml:space="preserve"> §</w:t>
      </w:r>
      <w:r w:rsidR="00B010B6">
        <w:tab/>
      </w:r>
      <w:r w:rsidR="00036ED0">
        <w:t>L</w:t>
      </w:r>
      <w:r w:rsidR="002845AD" w:rsidRPr="00A16FC0">
        <w:t>everantör</w:t>
      </w:r>
      <w:r w:rsidR="00036ED0">
        <w:t>en</w:t>
      </w:r>
      <w:r w:rsidR="002845AD" w:rsidRPr="00A16FC0">
        <w:t xml:space="preserve"> ska skydda sin </w:t>
      </w:r>
      <w:r w:rsidR="00153868">
        <w:t>IT och OT</w:t>
      </w:r>
      <w:r w:rsidR="002845AD" w:rsidRPr="00A16FC0">
        <w:t xml:space="preserve"> genom att</w:t>
      </w:r>
    </w:p>
    <w:p w14:paraId="6DB25D9D" w14:textId="5B872ABD" w:rsidR="002845AD" w:rsidRPr="00A16FC0" w:rsidRDefault="002845AD" w:rsidP="001C30E4">
      <w:pPr>
        <w:pStyle w:val="Brdtext"/>
        <w:numPr>
          <w:ilvl w:val="0"/>
          <w:numId w:val="36"/>
        </w:numPr>
        <w:tabs>
          <w:tab w:val="clear" w:pos="567"/>
        </w:tabs>
        <w:spacing w:after="120"/>
      </w:pPr>
      <w:r w:rsidRPr="00A16FC0">
        <w:t>segmentera sitt nätverk</w:t>
      </w:r>
      <w:r w:rsidR="007762C0">
        <w:t xml:space="preserve"> och filtrera trafiken mellan olika nätverkssegment,</w:t>
      </w:r>
    </w:p>
    <w:p w14:paraId="6EBE3ACF" w14:textId="1B8F4090" w:rsidR="002845AD" w:rsidRPr="00A16FC0" w:rsidRDefault="007762C0" w:rsidP="002845AD">
      <w:pPr>
        <w:pStyle w:val="Brdtext"/>
        <w:numPr>
          <w:ilvl w:val="0"/>
          <w:numId w:val="36"/>
        </w:numPr>
        <w:tabs>
          <w:tab w:val="clear" w:pos="567"/>
        </w:tabs>
        <w:spacing w:after="120"/>
      </w:pPr>
      <w:r>
        <w:t>minimera användandet av administrationsrättigheter,</w:t>
      </w:r>
      <w:r w:rsidR="002845AD" w:rsidRPr="00A16FC0">
        <w:t xml:space="preserve"> </w:t>
      </w:r>
    </w:p>
    <w:p w14:paraId="12E301D3" w14:textId="3DC117E9" w:rsidR="002845AD" w:rsidRPr="00A16FC0" w:rsidRDefault="002845AD" w:rsidP="00D53189">
      <w:pPr>
        <w:pStyle w:val="Brdtext"/>
        <w:numPr>
          <w:ilvl w:val="0"/>
          <w:numId w:val="36"/>
        </w:numPr>
        <w:tabs>
          <w:tab w:val="clear" w:pos="567"/>
        </w:tabs>
        <w:spacing w:after="120"/>
      </w:pPr>
      <w:r w:rsidRPr="00A16FC0">
        <w:t xml:space="preserve">installera säkerhetsuppdateringar </w:t>
      </w:r>
      <w:r w:rsidR="00B67AA0">
        <w:t>snarast möjligt</w:t>
      </w:r>
      <w:r w:rsidR="00D53189">
        <w:t xml:space="preserve"> </w:t>
      </w:r>
      <w:r w:rsidR="002D6832">
        <w:t xml:space="preserve">och </w:t>
      </w:r>
      <w:r w:rsidR="00D53189">
        <w:t xml:space="preserve">enligt beprövade metoder, </w:t>
      </w:r>
      <w:r w:rsidRPr="00A16FC0">
        <w:t xml:space="preserve"> </w:t>
      </w:r>
    </w:p>
    <w:p w14:paraId="29C9C16A" w14:textId="33A23883" w:rsidR="002845AD" w:rsidRPr="00A16FC0" w:rsidRDefault="00AE6ED0" w:rsidP="002845AD">
      <w:pPr>
        <w:pStyle w:val="Brdtext"/>
        <w:numPr>
          <w:ilvl w:val="0"/>
          <w:numId w:val="36"/>
        </w:numPr>
        <w:tabs>
          <w:tab w:val="clear" w:pos="567"/>
        </w:tabs>
        <w:spacing w:after="120"/>
      </w:pPr>
      <w:r>
        <w:t>använda</w:t>
      </w:r>
      <w:r w:rsidR="007F151B">
        <w:t xml:space="preserve"> proportion</w:t>
      </w:r>
      <w:r w:rsidR="00E25930">
        <w:t>ella</w:t>
      </w:r>
      <w:r w:rsidR="007F151B">
        <w:t xml:space="preserve"> </w:t>
      </w:r>
      <w:r w:rsidR="002845AD" w:rsidRPr="00A16FC0">
        <w:t xml:space="preserve">autentiseringsmetoder, </w:t>
      </w:r>
    </w:p>
    <w:p w14:paraId="3C0DB71B" w14:textId="1D2AD539" w:rsidR="002845AD" w:rsidRPr="00A16FC0" w:rsidRDefault="002D6832" w:rsidP="002845AD">
      <w:pPr>
        <w:pStyle w:val="Brdtext"/>
        <w:numPr>
          <w:ilvl w:val="0"/>
          <w:numId w:val="36"/>
        </w:numPr>
        <w:tabs>
          <w:tab w:val="clear" w:pos="567"/>
        </w:tabs>
        <w:spacing w:after="120"/>
      </w:pPr>
      <w:r>
        <w:lastRenderedPageBreak/>
        <w:t xml:space="preserve">om möjligt </w:t>
      </w:r>
      <w:r w:rsidR="007D07A1">
        <w:t>använda</w:t>
      </w:r>
      <w:r w:rsidR="002845AD" w:rsidRPr="00A16FC0">
        <w:t xml:space="preserve"> antivirusprogram på alla enheter</w:t>
      </w:r>
      <w:r w:rsidR="00B67AA0">
        <w:t xml:space="preserve"> som är uppkopplade mot IT och OT</w:t>
      </w:r>
      <w:r w:rsidR="002845AD" w:rsidRPr="00A16FC0">
        <w:t>, samt</w:t>
      </w:r>
    </w:p>
    <w:p w14:paraId="7536581A" w14:textId="33FECFAC" w:rsidR="002845AD" w:rsidRDefault="00D53189" w:rsidP="002845AD">
      <w:pPr>
        <w:pStyle w:val="Brdtext"/>
        <w:numPr>
          <w:ilvl w:val="0"/>
          <w:numId w:val="36"/>
        </w:numPr>
        <w:tabs>
          <w:tab w:val="clear" w:pos="567"/>
        </w:tabs>
        <w:spacing w:after="120"/>
      </w:pPr>
      <w:r>
        <w:t>b</w:t>
      </w:r>
      <w:r w:rsidR="00204BD3">
        <w:t xml:space="preserve">egränsa fysisk tillgång till IT och OT. </w:t>
      </w:r>
    </w:p>
    <w:p w14:paraId="40DEE0B8" w14:textId="77777777" w:rsidR="002845AD" w:rsidRPr="00A16FC0" w:rsidRDefault="002845AD" w:rsidP="002845AD">
      <w:pPr>
        <w:pStyle w:val="Brdtext"/>
        <w:spacing w:after="120"/>
        <w:rPr>
          <w:u w:val="single"/>
        </w:rPr>
      </w:pPr>
    </w:p>
    <w:p w14:paraId="415FD5AD" w14:textId="146A4BCD" w:rsidR="002845AD" w:rsidRPr="00A16FC0" w:rsidRDefault="00B67AA0" w:rsidP="002845AD">
      <w:pPr>
        <w:pStyle w:val="Brdtext"/>
        <w:spacing w:after="120"/>
      </w:pPr>
      <w:r w:rsidRPr="003A6C12">
        <w:rPr>
          <w:b/>
          <w:bCs/>
        </w:rPr>
        <w:t>5</w:t>
      </w:r>
      <w:r w:rsidR="002845AD" w:rsidRPr="003A6C12">
        <w:rPr>
          <w:b/>
          <w:bCs/>
        </w:rPr>
        <w:t xml:space="preserve"> §</w:t>
      </w:r>
      <w:r w:rsidR="002845AD" w:rsidRPr="00A16FC0">
        <w:tab/>
      </w:r>
      <w:r w:rsidR="00AE6ED0">
        <w:t>L</w:t>
      </w:r>
      <w:r w:rsidR="002845AD" w:rsidRPr="00A16FC0">
        <w:t>everantör</w:t>
      </w:r>
      <w:r w:rsidR="002D6832">
        <w:t>en</w:t>
      </w:r>
      <w:r w:rsidR="002845AD" w:rsidRPr="00A16FC0">
        <w:t xml:space="preserve"> ska </w:t>
      </w:r>
      <w:r w:rsidR="00E5096D">
        <w:t>arbeta</w:t>
      </w:r>
      <w:r w:rsidR="002845AD" w:rsidRPr="00A16FC0">
        <w:t xml:space="preserve"> för att </w:t>
      </w:r>
      <w:r>
        <w:t>förebygga</w:t>
      </w:r>
      <w:r w:rsidR="007327D4">
        <w:t xml:space="preserve"> och mini</w:t>
      </w:r>
      <w:r w:rsidR="00AA03BF">
        <w:t>mera</w:t>
      </w:r>
      <w:r w:rsidR="00B54E3B">
        <w:t xml:space="preserve"> </w:t>
      </w:r>
      <w:r w:rsidR="002845AD" w:rsidRPr="00A16FC0">
        <w:t>incidenter genom att</w:t>
      </w:r>
    </w:p>
    <w:p w14:paraId="149517BB" w14:textId="3421C1FF" w:rsidR="002845AD" w:rsidRPr="00A16FC0" w:rsidRDefault="002845AD" w:rsidP="002845AD">
      <w:pPr>
        <w:pStyle w:val="Brdtext"/>
        <w:numPr>
          <w:ilvl w:val="0"/>
          <w:numId w:val="37"/>
        </w:numPr>
        <w:tabs>
          <w:tab w:val="clear" w:pos="567"/>
        </w:tabs>
        <w:spacing w:after="120"/>
      </w:pPr>
      <w:r w:rsidRPr="00A16FC0">
        <w:t xml:space="preserve">härda </w:t>
      </w:r>
      <w:r w:rsidR="005E4BA9">
        <w:t xml:space="preserve">IT och OT </w:t>
      </w:r>
      <w:r w:rsidR="00303E26">
        <w:t xml:space="preserve">hårdvara innan de </w:t>
      </w:r>
      <w:r w:rsidR="00CC37EC">
        <w:t>börjar användas</w:t>
      </w:r>
      <w:r w:rsidR="0083286A">
        <w:t>,</w:t>
      </w:r>
      <w:r w:rsidRPr="00A16FC0">
        <w:t xml:space="preserve"> </w:t>
      </w:r>
    </w:p>
    <w:p w14:paraId="36BC1828" w14:textId="3B133741" w:rsidR="002845AD" w:rsidRPr="00A16FC0" w:rsidRDefault="002845AD" w:rsidP="002845AD">
      <w:pPr>
        <w:pStyle w:val="Brdtext"/>
        <w:numPr>
          <w:ilvl w:val="0"/>
          <w:numId w:val="37"/>
        </w:numPr>
        <w:tabs>
          <w:tab w:val="clear" w:pos="567"/>
        </w:tabs>
        <w:spacing w:after="120"/>
      </w:pPr>
      <w:r w:rsidRPr="00A16FC0">
        <w:t xml:space="preserve">hantera förändringar i IT och OT med metoder som minimerar risken för störningar eller förändringar i </w:t>
      </w:r>
      <w:r w:rsidR="005E4BA9">
        <w:t>IT</w:t>
      </w:r>
      <w:r w:rsidR="00B54E3B">
        <w:t>:s</w:t>
      </w:r>
      <w:r w:rsidR="005E4BA9">
        <w:t xml:space="preserve"> och OT:s </w:t>
      </w:r>
      <w:r w:rsidRPr="00A16FC0">
        <w:t xml:space="preserve">cybersäkerhet, </w:t>
      </w:r>
      <w:r w:rsidR="0023055D">
        <w:t>samt</w:t>
      </w:r>
    </w:p>
    <w:p w14:paraId="68F78B59" w14:textId="367A5994" w:rsidR="002845AD" w:rsidRPr="00A16FC0" w:rsidRDefault="002845AD" w:rsidP="002845AD">
      <w:pPr>
        <w:pStyle w:val="Brdtext"/>
        <w:numPr>
          <w:ilvl w:val="0"/>
          <w:numId w:val="37"/>
        </w:numPr>
        <w:tabs>
          <w:tab w:val="clear" w:pos="567"/>
        </w:tabs>
        <w:spacing w:after="120"/>
      </w:pPr>
      <w:r w:rsidRPr="00A16FC0">
        <w:t xml:space="preserve">hantera </w:t>
      </w:r>
      <w:r w:rsidR="0048678F">
        <w:t>hårdvara</w:t>
      </w:r>
      <w:r w:rsidR="002D6832">
        <w:t xml:space="preserve"> i IT och OT</w:t>
      </w:r>
      <w:r w:rsidR="0048678F">
        <w:t xml:space="preserve"> som har upphört att användas</w:t>
      </w:r>
      <w:r w:rsidR="002D6832">
        <w:t xml:space="preserve"> </w:t>
      </w:r>
      <w:r w:rsidRPr="00A16FC0">
        <w:t xml:space="preserve">för att säkerställa </w:t>
      </w:r>
      <w:r w:rsidR="002D6832">
        <w:t>att</w:t>
      </w:r>
      <w:r w:rsidRPr="00A16FC0">
        <w:t xml:space="preserve"> </w:t>
      </w:r>
      <w:r w:rsidR="0023055D">
        <w:t xml:space="preserve">känslig </w:t>
      </w:r>
      <w:r w:rsidRPr="00A16FC0">
        <w:t>information</w:t>
      </w:r>
      <w:r w:rsidR="002D6832">
        <w:t xml:space="preserve"> inte avslöjas</w:t>
      </w:r>
      <w:r w:rsidR="0023055D">
        <w:t>.</w:t>
      </w:r>
    </w:p>
    <w:p w14:paraId="03CDC439" w14:textId="77777777" w:rsidR="00204BD3" w:rsidRPr="001C30E4" w:rsidRDefault="00204BD3" w:rsidP="00204BD3">
      <w:pPr>
        <w:pStyle w:val="Brdtext"/>
        <w:spacing w:after="120"/>
      </w:pPr>
    </w:p>
    <w:p w14:paraId="61214805" w14:textId="074B1BEF" w:rsidR="002845AD" w:rsidRPr="00A16FC0" w:rsidRDefault="00B67AA0" w:rsidP="002845AD">
      <w:pPr>
        <w:pStyle w:val="Brdtext"/>
        <w:spacing w:after="120"/>
      </w:pPr>
      <w:r w:rsidRPr="003A6C12">
        <w:rPr>
          <w:b/>
          <w:bCs/>
        </w:rPr>
        <w:t>6</w:t>
      </w:r>
      <w:r w:rsidR="002845AD" w:rsidRPr="003A6C12">
        <w:rPr>
          <w:b/>
          <w:bCs/>
        </w:rPr>
        <w:t xml:space="preserve"> §</w:t>
      </w:r>
      <w:r w:rsidR="002845AD" w:rsidRPr="00A16FC0">
        <w:tab/>
      </w:r>
      <w:r w:rsidR="002C1064">
        <w:t>L</w:t>
      </w:r>
      <w:r w:rsidR="002845AD" w:rsidRPr="00A16FC0">
        <w:t>everantör</w:t>
      </w:r>
      <w:r w:rsidR="002C1064">
        <w:t>en</w:t>
      </w:r>
      <w:r w:rsidR="002845AD" w:rsidRPr="00A16FC0">
        <w:t xml:space="preserve"> ska</w:t>
      </w:r>
      <w:r w:rsidR="007F151B">
        <w:t xml:space="preserve"> </w:t>
      </w:r>
      <w:r w:rsidR="002845AD" w:rsidRPr="00A16FC0">
        <w:t xml:space="preserve">minimera </w:t>
      </w:r>
      <w:r w:rsidR="005E4BA9">
        <w:t>verkningar</w:t>
      </w:r>
      <w:r w:rsidR="002845AD" w:rsidRPr="00A16FC0">
        <w:t xml:space="preserve"> av incidenter genom att</w:t>
      </w:r>
    </w:p>
    <w:p w14:paraId="54D4C746" w14:textId="0ECB64F6" w:rsidR="002845AD" w:rsidRDefault="002845AD" w:rsidP="002845AD">
      <w:pPr>
        <w:pStyle w:val="Brdtext"/>
        <w:numPr>
          <w:ilvl w:val="0"/>
          <w:numId w:val="38"/>
        </w:numPr>
        <w:tabs>
          <w:tab w:val="clear" w:pos="567"/>
        </w:tabs>
        <w:spacing w:after="120"/>
      </w:pPr>
      <w:r w:rsidRPr="00A16FC0">
        <w:t xml:space="preserve">säkerhetskopiera applikationer och information från de </w:t>
      </w:r>
      <w:r w:rsidR="005E4BA9">
        <w:t>delar av IT och OT</w:t>
      </w:r>
      <w:r w:rsidRPr="00A16FC0">
        <w:t xml:space="preserve"> som är kritiska för</w:t>
      </w:r>
      <w:r w:rsidR="007F3C3E">
        <w:t xml:space="preserve"> tillhandahållande</w:t>
      </w:r>
      <w:r w:rsidRPr="00A16FC0">
        <w:t xml:space="preserve"> av samhällsviktig</w:t>
      </w:r>
      <w:r w:rsidR="007F3C3E">
        <w:t>a</w:t>
      </w:r>
      <w:r w:rsidRPr="00A16FC0">
        <w:t xml:space="preserve"> tjänst</w:t>
      </w:r>
      <w:r w:rsidR="007F3C3E">
        <w:t>er</w:t>
      </w:r>
      <w:r w:rsidRPr="00A16FC0">
        <w:t xml:space="preserve"> och</w:t>
      </w:r>
      <w:r w:rsidR="00B54E3B">
        <w:t xml:space="preserve"> regelbundet</w:t>
      </w:r>
      <w:r w:rsidRPr="00A16FC0">
        <w:t xml:space="preserve"> testa återställning</w:t>
      </w:r>
      <w:r w:rsidR="0048678F">
        <w:t xml:space="preserve"> av säkerhetskopior</w:t>
      </w:r>
      <w:r w:rsidR="005E4BA9">
        <w:t>, samt</w:t>
      </w:r>
    </w:p>
    <w:p w14:paraId="0C8E1486" w14:textId="67D73B37" w:rsidR="00EE244F" w:rsidRPr="00A16FC0" w:rsidRDefault="00EE244F" w:rsidP="002845AD">
      <w:pPr>
        <w:pStyle w:val="Brdtext"/>
        <w:numPr>
          <w:ilvl w:val="0"/>
          <w:numId w:val="38"/>
        </w:numPr>
        <w:tabs>
          <w:tab w:val="clear" w:pos="567"/>
        </w:tabs>
        <w:spacing w:after="120"/>
      </w:pPr>
      <w:r>
        <w:t>prioritera att nätverk och informationssystem är så redundanta som möjligt</w:t>
      </w:r>
      <w:r w:rsidR="00424F46">
        <w:t xml:space="preserve"> utifrån de</w:t>
      </w:r>
      <w:r w:rsidR="007F3C3E">
        <w:t>ras</w:t>
      </w:r>
      <w:r>
        <w:t xml:space="preserve"> </w:t>
      </w:r>
      <w:r w:rsidR="00424F46">
        <w:t xml:space="preserve">väsentlighet för </w:t>
      </w:r>
      <w:r w:rsidR="007F3C3E">
        <w:t>tillhandahållande</w:t>
      </w:r>
      <w:r w:rsidR="00D96A1D">
        <w:t xml:space="preserve"> av den </w:t>
      </w:r>
      <w:r w:rsidR="002B7B0C">
        <w:t>samhällsviktiga tjänsten</w:t>
      </w:r>
      <w:r>
        <w:t xml:space="preserve"> och </w:t>
      </w:r>
      <w:r w:rsidR="0048678F">
        <w:t>utifrån de</w:t>
      </w:r>
      <w:r w:rsidR="007F3C3E">
        <w:t>ras</w:t>
      </w:r>
      <w:r w:rsidR="0048678F">
        <w:t xml:space="preserve"> </w:t>
      </w:r>
      <w:r>
        <w:t>tekniska förutsättningar.</w:t>
      </w:r>
    </w:p>
    <w:p w14:paraId="4AB1CEFD" w14:textId="77777777" w:rsidR="008A6537" w:rsidRDefault="008A6537" w:rsidP="0083147A">
      <w:pPr>
        <w:pStyle w:val="Brdtext"/>
      </w:pPr>
    </w:p>
    <w:p w14:paraId="7D6EEFBD" w14:textId="77777777" w:rsidR="004E31F4" w:rsidRDefault="004E31F4">
      <w:pPr>
        <w:spacing w:after="160" w:line="0" w:lineRule="auto"/>
        <w:rPr>
          <w:rFonts w:asciiTheme="majorHAnsi" w:eastAsiaTheme="majorEastAsia" w:hAnsiTheme="majorHAnsi" w:cstheme="majorBidi"/>
          <w:b/>
          <w:szCs w:val="26"/>
        </w:rPr>
      </w:pPr>
      <w:r>
        <w:br w:type="page"/>
      </w:r>
    </w:p>
    <w:p w14:paraId="7E10D758" w14:textId="0B82DD49" w:rsidR="002845AD" w:rsidRDefault="002845AD">
      <w:pPr>
        <w:spacing w:after="160" w:line="0" w:lineRule="auto"/>
        <w:rPr>
          <w:rFonts w:asciiTheme="majorHAnsi" w:eastAsiaTheme="majorEastAsia" w:hAnsiTheme="majorHAnsi" w:cstheme="majorBidi"/>
          <w:b/>
          <w:szCs w:val="26"/>
        </w:rPr>
      </w:pPr>
    </w:p>
    <w:p w14:paraId="1FFFE9A4" w14:textId="7D6295A3" w:rsidR="006E2B17" w:rsidRDefault="002845AD" w:rsidP="009B7D46">
      <w:pPr>
        <w:pStyle w:val="Rubrik2"/>
        <w:tabs>
          <w:tab w:val="left" w:pos="567"/>
        </w:tabs>
      </w:pPr>
      <w:r>
        <w:t>4</w:t>
      </w:r>
      <w:r w:rsidR="006E2B17">
        <w:t xml:space="preserve"> kap. </w:t>
      </w:r>
      <w:r w:rsidR="001C140F">
        <w:t>S</w:t>
      </w:r>
      <w:bookmarkStart w:id="2" w:name="_Hlk17215599"/>
      <w:r w:rsidR="001C140F">
        <w:t>äkerhetså</w:t>
      </w:r>
      <w:r w:rsidR="006E2B17">
        <w:t>tgärd</w:t>
      </w:r>
      <w:r w:rsidR="001C140F">
        <w:t>er</w:t>
      </w:r>
      <w:bookmarkEnd w:id="2"/>
    </w:p>
    <w:p w14:paraId="3B7212A8" w14:textId="3D7A2601" w:rsidR="00E61D7B" w:rsidRDefault="00E61D7B" w:rsidP="0083147A">
      <w:pPr>
        <w:pStyle w:val="Brdtext"/>
      </w:pPr>
    </w:p>
    <w:p w14:paraId="658817BC" w14:textId="6BEA3E49" w:rsidR="00204BD3" w:rsidRDefault="008B0A32" w:rsidP="0083147A">
      <w:pPr>
        <w:pStyle w:val="Brdtext"/>
      </w:pPr>
      <w:r w:rsidRPr="005A14EF">
        <w:rPr>
          <w:b/>
        </w:rPr>
        <w:t>1</w:t>
      </w:r>
      <w:r w:rsidR="00C47176" w:rsidRPr="005A14EF">
        <w:rPr>
          <w:b/>
        </w:rPr>
        <w:t xml:space="preserve"> §</w:t>
      </w:r>
      <w:r w:rsidR="00B010B6">
        <w:tab/>
      </w:r>
      <w:r w:rsidR="0048678F">
        <w:t>Leverantören ska införa s</w:t>
      </w:r>
      <w:r w:rsidR="000957EA">
        <w:t xml:space="preserve">äkerhetsåtgärder </w:t>
      </w:r>
      <w:r w:rsidR="0048678F">
        <w:t xml:space="preserve">dels </w:t>
      </w:r>
      <w:r w:rsidR="000957EA">
        <w:t>för att hantera risker</w:t>
      </w:r>
      <w:r w:rsidR="00050625">
        <w:t xml:space="preserve"> enligt 2 kap</w:t>
      </w:r>
      <w:r w:rsidR="007F3C3E">
        <w:t>.</w:t>
      </w:r>
      <w:r w:rsidR="0048678F">
        <w:t xml:space="preserve">, dels för att </w:t>
      </w:r>
      <w:r w:rsidR="000957EA">
        <w:t>tillgodose informationssäkerhetskrav</w:t>
      </w:r>
      <w:r w:rsidR="00050625">
        <w:t xml:space="preserve"> enligt 3 kap</w:t>
      </w:r>
      <w:r w:rsidR="000957EA">
        <w:t xml:space="preserve">. </w:t>
      </w:r>
      <w:r w:rsidR="003300A8">
        <w:t xml:space="preserve">En säkerhetsåtgärd ska </w:t>
      </w:r>
      <w:r w:rsidR="00424F46">
        <w:t xml:space="preserve">antingen </w:t>
      </w:r>
      <w:r w:rsidR="00204BD3">
        <w:t>sänka en risks värde</w:t>
      </w:r>
      <w:r w:rsidR="00C737A3">
        <w:t xml:space="preserve"> </w:t>
      </w:r>
      <w:r w:rsidR="00204BD3">
        <w:t xml:space="preserve">eller tillgodose ett informationssäkerhetskrav.  </w:t>
      </w:r>
    </w:p>
    <w:p w14:paraId="5BADF106" w14:textId="6C513A10" w:rsidR="004D1C37" w:rsidRDefault="004D1C37" w:rsidP="004D1C37">
      <w:pPr>
        <w:pStyle w:val="Brdtext"/>
      </w:pPr>
      <w:r>
        <w:rPr>
          <w:b/>
        </w:rPr>
        <w:t>2</w:t>
      </w:r>
      <w:r w:rsidRPr="005A14EF">
        <w:rPr>
          <w:b/>
        </w:rPr>
        <w:t xml:space="preserve"> §</w:t>
      </w:r>
      <w:r w:rsidR="00B010B6">
        <w:tab/>
      </w:r>
      <w:r>
        <w:t>Enligt 12 § lagen om informationssäkerhet för samhällsviktiga och digitala tjänster ska</w:t>
      </w:r>
      <w:r w:rsidR="00793C61">
        <w:t xml:space="preserve"> leverantören göra en riskanalys som ska ligga till grund för val av säkerhetsåtgärder. I</w:t>
      </w:r>
      <w:r>
        <w:t xml:space="preserve"> riskanalysen</w:t>
      </w:r>
      <w:r w:rsidR="00793C61">
        <w:t xml:space="preserve"> ska det</w:t>
      </w:r>
      <w:r>
        <w:t xml:space="preserve"> ingå en åtgärdsplan. </w:t>
      </w:r>
      <w:r w:rsidR="00793C61">
        <w:t>Å</w:t>
      </w:r>
      <w:r>
        <w:t>tgärdsplan</w:t>
      </w:r>
      <w:r w:rsidR="00793C61">
        <w:t>en</w:t>
      </w:r>
      <w:r>
        <w:t xml:space="preserve"> ska innehålla f</w:t>
      </w:r>
      <w:r w:rsidRPr="0083147A">
        <w:t>öl</w:t>
      </w:r>
      <w:r>
        <w:t>jande information avseende varje säkerhetsåtgärd som leverantören har identifierat:</w:t>
      </w:r>
    </w:p>
    <w:p w14:paraId="3B0468F8" w14:textId="77777777" w:rsidR="004D1C37" w:rsidRDefault="004D1C37" w:rsidP="004D1C37">
      <w:pPr>
        <w:pStyle w:val="Brdtext"/>
        <w:numPr>
          <w:ilvl w:val="0"/>
          <w:numId w:val="29"/>
        </w:numPr>
        <w:ind w:left="709"/>
      </w:pPr>
      <w:r>
        <w:t xml:space="preserve"> vilken risk säkerhetsåtgärden avser,</w:t>
      </w:r>
    </w:p>
    <w:p w14:paraId="333BBA40" w14:textId="4A7CF9F0" w:rsidR="004D1C37" w:rsidRDefault="004D1C37" w:rsidP="003A6C12">
      <w:pPr>
        <w:pStyle w:val="Brdtext"/>
        <w:numPr>
          <w:ilvl w:val="0"/>
          <w:numId w:val="29"/>
        </w:numPr>
        <w:tabs>
          <w:tab w:val="clear" w:pos="567"/>
        </w:tabs>
        <w:ind w:left="709"/>
      </w:pPr>
      <w:r>
        <w:t>vilket nätverk och informationssystem som säkerhetsåtgärden ska utföras inom,</w:t>
      </w:r>
    </w:p>
    <w:p w14:paraId="15650005" w14:textId="52EBDA1E" w:rsidR="004D1C37" w:rsidRDefault="004D1C37" w:rsidP="004D1C37">
      <w:pPr>
        <w:pStyle w:val="Brdtext"/>
        <w:numPr>
          <w:ilvl w:val="0"/>
          <w:numId w:val="29"/>
        </w:numPr>
        <w:tabs>
          <w:tab w:val="clear" w:pos="567"/>
        </w:tabs>
        <w:ind w:left="709"/>
      </w:pPr>
      <w:r>
        <w:t xml:space="preserve"> </w:t>
      </w:r>
      <w:r w:rsidR="00793C61">
        <w:t xml:space="preserve">person hos leverantören som </w:t>
      </w:r>
      <w:r>
        <w:t>ansvar</w:t>
      </w:r>
      <w:r w:rsidR="00793C61">
        <w:t>ar</w:t>
      </w:r>
      <w:r>
        <w:t xml:space="preserve"> för säkerhetsåtgärden,</w:t>
      </w:r>
    </w:p>
    <w:p w14:paraId="5EBE8054" w14:textId="187B17B9" w:rsidR="004D1C37" w:rsidRDefault="004D1C37" w:rsidP="004D1C37">
      <w:pPr>
        <w:pStyle w:val="Brdtext"/>
        <w:numPr>
          <w:ilvl w:val="0"/>
          <w:numId w:val="29"/>
        </w:numPr>
        <w:tabs>
          <w:tab w:val="clear" w:pos="567"/>
        </w:tabs>
        <w:ind w:left="709"/>
      </w:pPr>
      <w:r>
        <w:t xml:space="preserve"> </w:t>
      </w:r>
      <w:r w:rsidR="00891D82">
        <w:t>planerat</w:t>
      </w:r>
      <w:r>
        <w:t xml:space="preserve"> </w:t>
      </w:r>
      <w:r w:rsidR="00344A16">
        <w:t xml:space="preserve">datum för </w:t>
      </w:r>
      <w:r>
        <w:t>genomförande</w:t>
      </w:r>
      <w:r w:rsidR="00344A16">
        <w:t xml:space="preserve"> av</w:t>
      </w:r>
      <w:r>
        <w:t xml:space="preserve"> säkerhetsåtgärden, </w:t>
      </w:r>
    </w:p>
    <w:p w14:paraId="4D4DFF6A" w14:textId="14645874" w:rsidR="004D1C37" w:rsidRDefault="004D1C37" w:rsidP="004D1C37">
      <w:pPr>
        <w:pStyle w:val="Brdtext"/>
        <w:numPr>
          <w:ilvl w:val="0"/>
          <w:numId w:val="29"/>
        </w:numPr>
        <w:tabs>
          <w:tab w:val="clear" w:pos="567"/>
        </w:tabs>
        <w:ind w:left="709"/>
      </w:pPr>
      <w:r>
        <w:t>säkerhetsåtgärdens påverkan på risken</w:t>
      </w:r>
      <w:r w:rsidR="00F15958">
        <w:t>s sannolikhet eller konsekvens enligt vad som anges i</w:t>
      </w:r>
      <w:r w:rsidR="00B211E2">
        <w:t xml:space="preserve"> 2 kap. 3 §</w:t>
      </w:r>
      <w:r w:rsidR="00281ECA">
        <w:t>,</w:t>
      </w:r>
      <w:r>
        <w:t xml:space="preserve"> </w:t>
      </w:r>
      <w:r w:rsidR="00281ECA">
        <w:t>samt</w:t>
      </w:r>
      <w:r>
        <w:t xml:space="preserve"> </w:t>
      </w:r>
    </w:p>
    <w:p w14:paraId="444C6ABC" w14:textId="143BF6A3" w:rsidR="004D1C37" w:rsidRDefault="004D1C37" w:rsidP="004D1C37">
      <w:pPr>
        <w:pStyle w:val="Brdtext"/>
        <w:numPr>
          <w:ilvl w:val="0"/>
          <w:numId w:val="29"/>
        </w:numPr>
        <w:tabs>
          <w:tab w:val="clear" w:pos="567"/>
        </w:tabs>
        <w:ind w:left="709"/>
      </w:pPr>
      <w:r>
        <w:t>riskvärde</w:t>
      </w:r>
      <w:r w:rsidR="00E33066">
        <w:t xml:space="preserve"> </w:t>
      </w:r>
      <w:r w:rsidR="002B3C67">
        <w:t xml:space="preserve">enligt 2 kap 3 § </w:t>
      </w:r>
      <w:r w:rsidR="00E33066">
        <w:t xml:space="preserve">efter </w:t>
      </w:r>
      <w:r w:rsidR="00793C61">
        <w:t>säkerhets</w:t>
      </w:r>
      <w:r w:rsidR="00E33066">
        <w:t xml:space="preserve">åtgärdens </w:t>
      </w:r>
      <w:r w:rsidR="00F62ACB">
        <w:t>införande.</w:t>
      </w:r>
    </w:p>
    <w:p w14:paraId="1CEA84E6" w14:textId="7936ED2F" w:rsidR="00950C57" w:rsidRDefault="00950C57" w:rsidP="00950C57">
      <w:pPr>
        <w:pStyle w:val="Brdtext"/>
      </w:pPr>
      <w:r>
        <w:rPr>
          <w:b/>
        </w:rPr>
        <w:t>3</w:t>
      </w:r>
      <w:r w:rsidRPr="005A14EF">
        <w:rPr>
          <w:b/>
        </w:rPr>
        <w:t xml:space="preserve"> §</w:t>
      </w:r>
      <w:r w:rsidR="00B010B6">
        <w:tab/>
      </w:r>
      <w:r>
        <w:t>Enligt 1</w:t>
      </w:r>
      <w:r w:rsidR="00793C61">
        <w:t>4</w:t>
      </w:r>
      <w:r>
        <w:t xml:space="preserve"> § lagen om informationssäkerhet för samhällsviktiga och digitala tjänster ska leverantör</w:t>
      </w:r>
      <w:r w:rsidR="00793C61">
        <w:t>en</w:t>
      </w:r>
      <w:r>
        <w:t xml:space="preserve"> vidta åtgärder för att förebygga och minimera verkningar av</w:t>
      </w:r>
      <w:r w:rsidR="00793C61">
        <w:t xml:space="preserve"> incidenter</w:t>
      </w:r>
      <w:r>
        <w:t xml:space="preserve"> som påverkar </w:t>
      </w:r>
      <w:r w:rsidR="000C261D">
        <w:t>nätverk och informationssystem som denne använder för att tillhandahålla den samhällsviktiga tjänsten</w:t>
      </w:r>
      <w:r>
        <w:t xml:space="preserve">. </w:t>
      </w:r>
      <w:r w:rsidR="002F1EE2">
        <w:t>Vid införandet av åtgärder</w:t>
      </w:r>
      <w:r w:rsidR="001B43DE">
        <w:t xml:space="preserve"> för att uppfylla</w:t>
      </w:r>
      <w:r w:rsidR="002F1EE2">
        <w:t xml:space="preserve"> </w:t>
      </w:r>
      <w:r w:rsidR="00183EFB">
        <w:t xml:space="preserve">informationssäkerhetskrav enligt </w:t>
      </w:r>
      <w:r w:rsidR="007F3C3E">
        <w:t xml:space="preserve">3 </w:t>
      </w:r>
      <w:r w:rsidR="00183EFB">
        <w:t>kap</w:t>
      </w:r>
      <w:r w:rsidR="007F3C3E">
        <w:t>.</w:t>
      </w:r>
      <w:r w:rsidR="00183EFB">
        <w:t xml:space="preserve"> </w:t>
      </w:r>
      <w:r w:rsidR="00694B90">
        <w:t>ska leverantören identifiera</w:t>
      </w:r>
      <w:r>
        <w:t>:</w:t>
      </w:r>
    </w:p>
    <w:p w14:paraId="5407CF73" w14:textId="7517CAA3" w:rsidR="00950C57" w:rsidRDefault="00950C57" w:rsidP="003A6C12">
      <w:pPr>
        <w:pStyle w:val="Brdtext"/>
        <w:numPr>
          <w:ilvl w:val="0"/>
          <w:numId w:val="44"/>
        </w:numPr>
        <w:tabs>
          <w:tab w:val="clear" w:pos="567"/>
        </w:tabs>
        <w:ind w:left="709"/>
      </w:pPr>
      <w:r>
        <w:t>vilket nätverk och informationssystem som säkerhetsåtgärden ska utföras inom,</w:t>
      </w:r>
    </w:p>
    <w:p w14:paraId="4AAE56B4" w14:textId="77BEE83C" w:rsidR="00950C57" w:rsidRDefault="00950C57" w:rsidP="00950C57">
      <w:pPr>
        <w:pStyle w:val="Brdtext"/>
        <w:numPr>
          <w:ilvl w:val="0"/>
          <w:numId w:val="44"/>
        </w:numPr>
        <w:tabs>
          <w:tab w:val="clear" w:pos="567"/>
        </w:tabs>
        <w:ind w:left="709"/>
      </w:pPr>
      <w:r>
        <w:t xml:space="preserve"> </w:t>
      </w:r>
      <w:r w:rsidR="000C261D">
        <w:t xml:space="preserve">person hos leverantören som </w:t>
      </w:r>
      <w:r>
        <w:t>ansvar</w:t>
      </w:r>
      <w:r w:rsidR="000C261D">
        <w:t>ar</w:t>
      </w:r>
      <w:r>
        <w:t xml:space="preserve"> för säkerhetsåtgärden,</w:t>
      </w:r>
      <w:r w:rsidR="00281ECA">
        <w:t xml:space="preserve"> samt</w:t>
      </w:r>
    </w:p>
    <w:p w14:paraId="1D410EC2" w14:textId="3A3866BB" w:rsidR="00950C57" w:rsidRDefault="00950C57" w:rsidP="00950C57">
      <w:pPr>
        <w:pStyle w:val="Brdtext"/>
        <w:numPr>
          <w:ilvl w:val="0"/>
          <w:numId w:val="44"/>
        </w:numPr>
        <w:tabs>
          <w:tab w:val="clear" w:pos="567"/>
        </w:tabs>
        <w:ind w:left="709"/>
      </w:pPr>
      <w:r>
        <w:t xml:space="preserve"> planerat datum för genomförande av säkerhetsåtgärden</w:t>
      </w:r>
      <w:r w:rsidR="00281ECA">
        <w:t>.</w:t>
      </w:r>
    </w:p>
    <w:p w14:paraId="742D87CE" w14:textId="5CC81004" w:rsidR="0059298C" w:rsidRDefault="00950C57" w:rsidP="0083147A">
      <w:pPr>
        <w:pStyle w:val="Brdtext"/>
      </w:pPr>
      <w:r>
        <w:rPr>
          <w:b/>
        </w:rPr>
        <w:t>4</w:t>
      </w:r>
      <w:r w:rsidR="003300A8" w:rsidRPr="003300A8">
        <w:rPr>
          <w:b/>
        </w:rPr>
        <w:t xml:space="preserve"> </w:t>
      </w:r>
      <w:r w:rsidR="00393E7A" w:rsidRPr="003300A8">
        <w:rPr>
          <w:b/>
        </w:rPr>
        <w:t>§</w:t>
      </w:r>
      <w:r w:rsidR="00B010B6">
        <w:tab/>
      </w:r>
      <w:r w:rsidR="00393E7A">
        <w:t>Säkerhetsåtgärder</w:t>
      </w:r>
      <w:r w:rsidR="008A5FC0">
        <w:t xml:space="preserve"> ska </w:t>
      </w:r>
      <w:r w:rsidR="00300182">
        <w:t xml:space="preserve">prioriteras med </w:t>
      </w:r>
      <w:r w:rsidR="003E1BA4">
        <w:t xml:space="preserve">beaktande av </w:t>
      </w:r>
      <w:r w:rsidR="00C062D4">
        <w:t>leverantörens risk</w:t>
      </w:r>
      <w:r w:rsidR="003E1BA4">
        <w:t>värdering</w:t>
      </w:r>
      <w:r w:rsidR="008B0A32">
        <w:t xml:space="preserve"> enligt 2 kap. </w:t>
      </w:r>
      <w:r w:rsidR="00780DA2">
        <w:t>3</w:t>
      </w:r>
      <w:r w:rsidR="008B0A32">
        <w:t xml:space="preserve"> §</w:t>
      </w:r>
      <w:r w:rsidR="00B54E3B">
        <w:t xml:space="preserve"> samt</w:t>
      </w:r>
      <w:r w:rsidR="00780DA2">
        <w:t xml:space="preserve"> med beaktande av </w:t>
      </w:r>
      <w:r w:rsidR="003E1BA4">
        <w:t>de</w:t>
      </w:r>
      <w:r w:rsidR="00C062D4">
        <w:t xml:space="preserve"> ekonomiska och tidsmässiga</w:t>
      </w:r>
      <w:r w:rsidR="003E1BA4">
        <w:t xml:space="preserve"> resurser som genomförandet av </w:t>
      </w:r>
      <w:r w:rsidR="00C062D4">
        <w:t>säkerhets</w:t>
      </w:r>
      <w:r w:rsidR="003E1BA4">
        <w:t>åtgärde</w:t>
      </w:r>
      <w:r w:rsidR="00C062D4">
        <w:t>r</w:t>
      </w:r>
      <w:r w:rsidR="003E1BA4">
        <w:t>n</w:t>
      </w:r>
      <w:r w:rsidR="00C062D4">
        <w:t>a</w:t>
      </w:r>
      <w:r w:rsidR="003E1BA4">
        <w:t xml:space="preserve"> beräknas </w:t>
      </w:r>
      <w:r w:rsidR="00C062D4">
        <w:t>kräva</w:t>
      </w:r>
      <w:r w:rsidR="003E1BA4">
        <w:t xml:space="preserve">. </w:t>
      </w:r>
      <w:r w:rsidR="00B83F86">
        <w:t xml:space="preserve"> </w:t>
      </w:r>
    </w:p>
    <w:p w14:paraId="54447F41" w14:textId="77777777" w:rsidR="000A71FD" w:rsidRDefault="000A71FD">
      <w:pPr>
        <w:spacing w:after="160" w:line="0" w:lineRule="auto"/>
        <w:rPr>
          <w:rFonts w:asciiTheme="majorHAnsi" w:eastAsiaTheme="majorEastAsia" w:hAnsiTheme="majorHAnsi" w:cstheme="majorBidi"/>
          <w:b/>
          <w:szCs w:val="26"/>
        </w:rPr>
      </w:pPr>
      <w:r>
        <w:br w:type="page"/>
      </w:r>
    </w:p>
    <w:p w14:paraId="7AD45694" w14:textId="67BF197C" w:rsidR="00480149" w:rsidRPr="005A14EF" w:rsidRDefault="002845AD" w:rsidP="000A5063">
      <w:pPr>
        <w:pStyle w:val="Rubrik2"/>
      </w:pPr>
      <w:r>
        <w:lastRenderedPageBreak/>
        <w:t>5</w:t>
      </w:r>
      <w:r w:rsidR="00480149" w:rsidRPr="005A14EF">
        <w:t xml:space="preserve"> kap. Undantag</w:t>
      </w:r>
    </w:p>
    <w:p w14:paraId="365EEDA8" w14:textId="77777777" w:rsidR="009643D9" w:rsidRDefault="009643D9" w:rsidP="009643D9">
      <w:pPr>
        <w:pStyle w:val="Brdtext"/>
        <w:rPr>
          <w:b/>
        </w:rPr>
      </w:pPr>
    </w:p>
    <w:p w14:paraId="523E79F5" w14:textId="5BC6E0B5" w:rsidR="00480149" w:rsidRPr="007B0FD7" w:rsidRDefault="00480149" w:rsidP="005A14EF">
      <w:pPr>
        <w:pStyle w:val="Brdtext"/>
      </w:pPr>
      <w:r w:rsidRPr="005A14EF">
        <w:rPr>
          <w:b/>
        </w:rPr>
        <w:t>1 §</w:t>
      </w:r>
      <w:r w:rsidR="00B010B6">
        <w:tab/>
      </w:r>
      <w:r>
        <w:t>När särskilda skäl föreligger får Statens energimyndighet medge undantag från bestämmelserna i dessa föreskrifter</w:t>
      </w:r>
      <w:r w:rsidR="00891D82">
        <w:t>.</w:t>
      </w:r>
    </w:p>
    <w:p w14:paraId="0F35CB53" w14:textId="40E26981" w:rsidR="00480149" w:rsidRDefault="00480149" w:rsidP="000A5063">
      <w:pPr>
        <w:pStyle w:val="Rubrik2"/>
      </w:pPr>
    </w:p>
    <w:p w14:paraId="48F64B29" w14:textId="2BAE40CF" w:rsidR="008367BB" w:rsidRDefault="008367BB" w:rsidP="008367BB">
      <w:pPr>
        <w:pStyle w:val="Brdtext"/>
      </w:pPr>
    </w:p>
    <w:p w14:paraId="56F901AA" w14:textId="29C1C701" w:rsidR="008367BB" w:rsidRDefault="008367BB" w:rsidP="008367BB">
      <w:pPr>
        <w:pStyle w:val="Brdtext"/>
      </w:pPr>
    </w:p>
    <w:p w14:paraId="09FC2897" w14:textId="77777777" w:rsidR="008367BB" w:rsidRPr="00E650DE" w:rsidRDefault="008367BB" w:rsidP="005A14EF">
      <w:pPr>
        <w:pStyle w:val="Brdtext"/>
      </w:pPr>
    </w:p>
    <w:p w14:paraId="4159E05A" w14:textId="3F0A74F6" w:rsidR="000A5063" w:rsidRDefault="000A5063" w:rsidP="000A5063">
      <w:pPr>
        <w:pStyle w:val="Rubrik2"/>
      </w:pPr>
      <w:r>
        <w:t>Ikraftträdande</w:t>
      </w:r>
    </w:p>
    <w:p w14:paraId="51814656" w14:textId="6FEE05E8" w:rsidR="000A5063" w:rsidRDefault="000A5063" w:rsidP="000A5063">
      <w:pPr>
        <w:pStyle w:val="Brdtext"/>
      </w:pPr>
      <w:r>
        <w:t xml:space="preserve">Dessa föreskrifter träder ikraft den xx </w:t>
      </w:r>
      <w:proofErr w:type="spellStart"/>
      <w:r>
        <w:t>xx</w:t>
      </w:r>
      <w:proofErr w:type="spellEnd"/>
      <w:r>
        <w:t xml:space="preserve"> 20</w:t>
      </w:r>
      <w:r w:rsidR="00204BD3">
        <w:t>20</w:t>
      </w:r>
      <w:r>
        <w:t>.</w:t>
      </w:r>
    </w:p>
    <w:p w14:paraId="33B1E202" w14:textId="02A726B0" w:rsidR="000A5063" w:rsidRDefault="000A5063" w:rsidP="000A5063">
      <w:pPr>
        <w:pStyle w:val="Brdtext"/>
      </w:pPr>
    </w:p>
    <w:p w14:paraId="6183F26C" w14:textId="1DF7F3D4" w:rsidR="00E813E6" w:rsidRDefault="00E813E6" w:rsidP="000A5063">
      <w:pPr>
        <w:pStyle w:val="Brdtext"/>
      </w:pPr>
    </w:p>
    <w:p w14:paraId="4C51C749" w14:textId="77777777" w:rsidR="00E813E6" w:rsidRDefault="00E813E6" w:rsidP="000A5063">
      <w:pPr>
        <w:pStyle w:val="Brdtext"/>
      </w:pPr>
    </w:p>
    <w:p w14:paraId="6A205735" w14:textId="6238D470" w:rsidR="000A5063" w:rsidRDefault="000A5063" w:rsidP="000A5063">
      <w:pPr>
        <w:pStyle w:val="Brdtext"/>
      </w:pPr>
      <w:r>
        <w:t>På Statens energimyndighets vägnar</w:t>
      </w:r>
    </w:p>
    <w:p w14:paraId="275A2DAE" w14:textId="69B47CCD" w:rsidR="00A71F25" w:rsidRDefault="00CC5EDF" w:rsidP="00204BD3">
      <w:pPr>
        <w:pStyle w:val="Brdtext"/>
      </w:pPr>
      <w:r>
        <w:t xml:space="preserve"> </w:t>
      </w:r>
      <w:r w:rsidR="00391804">
        <w:t>Robert Andrén</w:t>
      </w:r>
    </w:p>
    <w:p w14:paraId="4C24B371" w14:textId="693A8A0A" w:rsidR="005235BD" w:rsidRDefault="00391804" w:rsidP="00204BD3">
      <w:pPr>
        <w:pStyle w:val="Brdtext"/>
      </w:pPr>
      <w:r>
        <w:tab/>
      </w:r>
      <w:r>
        <w:tab/>
      </w:r>
      <w:r>
        <w:tab/>
      </w:r>
      <w:r>
        <w:tab/>
      </w:r>
      <w:r>
        <w:tab/>
        <w:t>XX</w:t>
      </w:r>
    </w:p>
    <w:p w14:paraId="05CE7EFF" w14:textId="77777777" w:rsidR="005235BD" w:rsidRDefault="005235BD">
      <w:pPr>
        <w:spacing w:after="160" w:line="0" w:lineRule="auto"/>
        <w:rPr>
          <w:rFonts w:asciiTheme="majorHAnsi" w:hAnsiTheme="majorHAnsi" w:cstheme="majorHAnsi"/>
        </w:rPr>
      </w:pPr>
      <w:r>
        <w:br w:type="page"/>
      </w:r>
    </w:p>
    <w:p w14:paraId="16377970" w14:textId="390489B0" w:rsidR="00391804" w:rsidRPr="005235BD" w:rsidRDefault="005235BD" w:rsidP="00140F7E">
      <w:pPr>
        <w:pStyle w:val="Rubrik1"/>
      </w:pPr>
      <w:r w:rsidRPr="005235BD">
        <w:lastRenderedPageBreak/>
        <w:t>Allmänna råd för Energimyndighetens föreskrift om riskanalys och säkerhetsåtgärder för nätverk och informationssystem inom energisektorn.</w:t>
      </w:r>
    </w:p>
    <w:p w14:paraId="541B705B" w14:textId="0CD6E4C6" w:rsidR="005235BD" w:rsidRPr="004B6FEF" w:rsidRDefault="009C4B2B" w:rsidP="005235BD">
      <w:pPr>
        <w:pStyle w:val="Rubrik2"/>
        <w:tabs>
          <w:tab w:val="left" w:pos="567"/>
        </w:tabs>
        <w:rPr>
          <w:rFonts w:asciiTheme="minorHAnsi" w:eastAsiaTheme="minorHAnsi" w:hAnsiTheme="minorHAnsi" w:cstheme="minorBidi"/>
          <w:szCs w:val="22"/>
        </w:rPr>
      </w:pPr>
      <w:r>
        <w:t xml:space="preserve">Allmänna råd till </w:t>
      </w:r>
      <w:r w:rsidR="005235BD" w:rsidRPr="004B6FEF">
        <w:t xml:space="preserve">1 kap. </w:t>
      </w:r>
      <w:r w:rsidR="00404257">
        <w:t>om i</w:t>
      </w:r>
      <w:r w:rsidR="005235BD" w:rsidRPr="004B6FEF">
        <w:rPr>
          <w:rFonts w:cstheme="minorHAnsi"/>
          <w:bCs/>
          <w:sz w:val="24"/>
          <w:szCs w:val="24"/>
        </w:rPr>
        <w:t>nledande bestämmelser</w:t>
      </w:r>
      <w:r w:rsidR="005235BD">
        <w:rPr>
          <w:rFonts w:cstheme="minorHAnsi"/>
          <w:bCs/>
          <w:sz w:val="24"/>
          <w:szCs w:val="24"/>
        </w:rPr>
        <w:t xml:space="preserve"> och definitioner</w:t>
      </w:r>
    </w:p>
    <w:p w14:paraId="3BB222B5" w14:textId="77777777" w:rsidR="005235BD" w:rsidRDefault="005235BD" w:rsidP="005235BD">
      <w:pPr>
        <w:pStyle w:val="Brdtext"/>
      </w:pPr>
    </w:p>
    <w:p w14:paraId="28115A55" w14:textId="5EAAB6A0" w:rsidR="005235BD" w:rsidRDefault="005235BD" w:rsidP="005235BD">
      <w:pPr>
        <w:pStyle w:val="Brdtext"/>
      </w:pPr>
      <w:r w:rsidRPr="00A5181D">
        <w:rPr>
          <w:b/>
          <w:bCs/>
        </w:rPr>
        <w:t>1 §</w:t>
      </w:r>
      <w:r>
        <w:rPr>
          <w:b/>
          <w:bCs/>
        </w:rPr>
        <w:tab/>
      </w:r>
    </w:p>
    <w:p w14:paraId="3CC33084" w14:textId="77777777" w:rsidR="005235BD" w:rsidRPr="00D33082" w:rsidRDefault="005235BD" w:rsidP="005235BD">
      <w:pPr>
        <w:pStyle w:val="Brdtext"/>
        <w:shd w:val="clear" w:color="auto" w:fill="D9D9D9" w:themeFill="background1" w:themeFillShade="D9"/>
        <w:rPr>
          <w:i/>
          <w:iCs/>
        </w:rPr>
      </w:pPr>
      <w:r w:rsidRPr="00D33082">
        <w:rPr>
          <w:i/>
          <w:iCs/>
        </w:rPr>
        <w:t>Utöver Statens energimyndighets föreskrifter om riskanalys och säkerhetsåtgärder för nätverk och informationssystem inom energisektorn finns Myndigheten för samhällsskydd och beredskaps (MSB) föreskrifter om:</w:t>
      </w:r>
    </w:p>
    <w:p w14:paraId="2729164A" w14:textId="77777777" w:rsidR="005235BD" w:rsidRPr="00D33082" w:rsidRDefault="005235BD" w:rsidP="005235BD">
      <w:pPr>
        <w:pStyle w:val="Brdtext"/>
        <w:numPr>
          <w:ilvl w:val="0"/>
          <w:numId w:val="25"/>
        </w:numPr>
        <w:shd w:val="clear" w:color="auto" w:fill="D9D9D9" w:themeFill="background1" w:themeFillShade="D9"/>
        <w:ind w:left="567"/>
        <w:rPr>
          <w:i/>
          <w:iCs/>
        </w:rPr>
      </w:pPr>
      <w:r w:rsidRPr="00D33082">
        <w:rPr>
          <w:i/>
          <w:iCs/>
        </w:rPr>
        <w:t>anmälan och identifiering av leverantörer av samhällsviktiga tjänster, MSBFS 2018:7,</w:t>
      </w:r>
    </w:p>
    <w:p w14:paraId="6E48E2A8" w14:textId="77777777" w:rsidR="005235BD" w:rsidRPr="00D33082" w:rsidRDefault="005235BD" w:rsidP="005235BD">
      <w:pPr>
        <w:pStyle w:val="Brdtext"/>
        <w:numPr>
          <w:ilvl w:val="0"/>
          <w:numId w:val="25"/>
        </w:numPr>
        <w:shd w:val="clear" w:color="auto" w:fill="D9D9D9" w:themeFill="background1" w:themeFillShade="D9"/>
        <w:ind w:left="567"/>
        <w:rPr>
          <w:i/>
          <w:iCs/>
        </w:rPr>
      </w:pPr>
      <w:r w:rsidRPr="00D33082">
        <w:rPr>
          <w:i/>
          <w:iCs/>
        </w:rPr>
        <w:t>informationssäkerhet för leverantörer av samhällsviktiga tjänster, MSBFS 2018:8,</w:t>
      </w:r>
    </w:p>
    <w:p w14:paraId="7D2C35B2" w14:textId="77777777" w:rsidR="005235BD" w:rsidRPr="00D33082" w:rsidRDefault="005235BD" w:rsidP="005235BD">
      <w:pPr>
        <w:pStyle w:val="Brdtext"/>
        <w:numPr>
          <w:ilvl w:val="0"/>
          <w:numId w:val="25"/>
        </w:numPr>
        <w:shd w:val="clear" w:color="auto" w:fill="D9D9D9" w:themeFill="background1" w:themeFillShade="D9"/>
        <w:ind w:left="567"/>
        <w:rPr>
          <w:i/>
          <w:iCs/>
        </w:rPr>
      </w:pPr>
      <w:r w:rsidRPr="00D33082">
        <w:rPr>
          <w:i/>
          <w:iCs/>
        </w:rPr>
        <w:t>rapportering av incidenter för leverantörer av samhällsviktiga tjänster, MSBFS 2018:9</w:t>
      </w:r>
      <w:r>
        <w:rPr>
          <w:i/>
          <w:iCs/>
        </w:rPr>
        <w:t>,</w:t>
      </w:r>
    </w:p>
    <w:p w14:paraId="2414F8CF" w14:textId="77777777" w:rsidR="005235BD" w:rsidRPr="00D33082" w:rsidRDefault="005235BD" w:rsidP="005235BD">
      <w:pPr>
        <w:pStyle w:val="Brdtext"/>
        <w:numPr>
          <w:ilvl w:val="0"/>
          <w:numId w:val="25"/>
        </w:numPr>
        <w:shd w:val="clear" w:color="auto" w:fill="D9D9D9" w:themeFill="background1" w:themeFillShade="D9"/>
        <w:ind w:left="567"/>
        <w:rPr>
          <w:i/>
          <w:iCs/>
        </w:rPr>
      </w:pPr>
      <w:r>
        <w:rPr>
          <w:i/>
          <w:iCs/>
        </w:rPr>
        <w:t>f</w:t>
      </w:r>
      <w:r w:rsidRPr="00D33082">
        <w:rPr>
          <w:i/>
          <w:iCs/>
        </w:rPr>
        <w:t>rivillig rapportering av incidenter i tjänster som är viktiga för samhällets funktionalitet, MSBFS 2018:11.</w:t>
      </w:r>
    </w:p>
    <w:p w14:paraId="46E5F704" w14:textId="6E59271C" w:rsidR="005235BD" w:rsidRDefault="005235BD" w:rsidP="009C4B2B">
      <w:pPr>
        <w:pStyle w:val="Brdtext"/>
      </w:pPr>
      <w:r w:rsidRPr="004B6FEF">
        <w:rPr>
          <w:b/>
        </w:rPr>
        <w:t>2 §</w:t>
      </w:r>
      <w:r>
        <w:t xml:space="preserve"> </w:t>
      </w:r>
      <w:r>
        <w:tab/>
      </w:r>
    </w:p>
    <w:p w14:paraId="7F42333C" w14:textId="68BF85E0" w:rsidR="005235BD" w:rsidRPr="00D33082" w:rsidRDefault="005235BD" w:rsidP="00A118B1">
      <w:pPr>
        <w:pStyle w:val="Brdtext"/>
        <w:shd w:val="clear" w:color="auto" w:fill="D9D9D9" w:themeFill="background1" w:themeFillShade="D9"/>
        <w:rPr>
          <w:i/>
        </w:rPr>
      </w:pPr>
      <w:r w:rsidRPr="00D33082">
        <w:rPr>
          <w:i/>
        </w:rPr>
        <w:t>I begreppet ”IT” ingår bl</w:t>
      </w:r>
      <w:r>
        <w:rPr>
          <w:i/>
        </w:rPr>
        <w:t>and annat</w:t>
      </w:r>
      <w:r w:rsidRPr="00D33082">
        <w:rPr>
          <w:i/>
        </w:rPr>
        <w:t xml:space="preserve"> e-post, delade filytor och applikationer för </w:t>
      </w:r>
      <w:r>
        <w:rPr>
          <w:i/>
        </w:rPr>
        <w:t>personaladministration</w:t>
      </w:r>
      <w:r w:rsidRPr="00D33082">
        <w:rPr>
          <w:i/>
        </w:rPr>
        <w:t>, ekonomi, försäljning och produktivitet.</w:t>
      </w:r>
      <w:r>
        <w:rPr>
          <w:i/>
        </w:rPr>
        <w:t xml:space="preserve">  Begreppet IT kallas ibland ”Kontors-IT”.  Även nätverk som innefattar </w:t>
      </w:r>
      <w:r w:rsidR="00B42374">
        <w:rPr>
          <w:i/>
        </w:rPr>
        <w:t xml:space="preserve">dessa </w:t>
      </w:r>
      <w:r>
        <w:rPr>
          <w:i/>
        </w:rPr>
        <w:t>informationssystem omfattas av i begreppet IT.</w:t>
      </w:r>
    </w:p>
    <w:p w14:paraId="0C14918C" w14:textId="589B5690" w:rsidR="005235BD" w:rsidRDefault="005235BD" w:rsidP="00A118B1">
      <w:pPr>
        <w:pStyle w:val="Brdtext"/>
        <w:shd w:val="clear" w:color="auto" w:fill="D9D9D9" w:themeFill="background1" w:themeFillShade="D9"/>
        <w:rPr>
          <w:i/>
        </w:rPr>
      </w:pPr>
      <w:r w:rsidRPr="00D33082">
        <w:rPr>
          <w:i/>
        </w:rPr>
        <w:t>I begreppet ”OT</w:t>
      </w:r>
      <w:r>
        <w:rPr>
          <w:i/>
        </w:rPr>
        <w:t>”</w:t>
      </w:r>
      <w:r w:rsidRPr="00D33082">
        <w:rPr>
          <w:i/>
        </w:rPr>
        <w:t xml:space="preserve"> ingår </w:t>
      </w:r>
      <w:proofErr w:type="gramStart"/>
      <w:r w:rsidRPr="00D33082">
        <w:rPr>
          <w:i/>
        </w:rPr>
        <w:t>bl.a.</w:t>
      </w:r>
      <w:proofErr w:type="gramEnd"/>
      <w:r w:rsidRPr="00D33082">
        <w:rPr>
          <w:i/>
        </w:rPr>
        <w:t xml:space="preserve"> det som kallas ICS (Industrial Control Systems), SCADA (</w:t>
      </w:r>
      <w:proofErr w:type="spellStart"/>
      <w:r w:rsidRPr="00D33082">
        <w:rPr>
          <w:i/>
        </w:rPr>
        <w:t>Supervisory</w:t>
      </w:r>
      <w:proofErr w:type="spellEnd"/>
      <w:r w:rsidRPr="00D33082">
        <w:rPr>
          <w:i/>
        </w:rPr>
        <w:t xml:space="preserve"> Control And Data </w:t>
      </w:r>
      <w:proofErr w:type="spellStart"/>
      <w:r w:rsidRPr="00D33082">
        <w:rPr>
          <w:i/>
        </w:rPr>
        <w:t>Acquisition</w:t>
      </w:r>
      <w:proofErr w:type="spellEnd"/>
      <w:r w:rsidRPr="00D33082">
        <w:rPr>
          <w:i/>
        </w:rPr>
        <w:t xml:space="preserve">), styrsystem </w:t>
      </w:r>
      <w:r>
        <w:rPr>
          <w:i/>
        </w:rPr>
        <w:t>och</w:t>
      </w:r>
      <w:r w:rsidRPr="00D33082">
        <w:rPr>
          <w:i/>
        </w:rPr>
        <w:t xml:space="preserve"> cyberfysiska system.</w:t>
      </w:r>
      <w:r>
        <w:rPr>
          <w:i/>
        </w:rPr>
        <w:t xml:space="preserve">  Även nätverk som innefattar </w:t>
      </w:r>
      <w:r w:rsidR="009E52D6">
        <w:rPr>
          <w:i/>
        </w:rPr>
        <w:t>dessa</w:t>
      </w:r>
      <w:r w:rsidR="00B42374">
        <w:rPr>
          <w:i/>
        </w:rPr>
        <w:t xml:space="preserve"> </w:t>
      </w:r>
      <w:r>
        <w:rPr>
          <w:i/>
        </w:rPr>
        <w:t>informationssystem omfattas av begreppet OT,</w:t>
      </w:r>
    </w:p>
    <w:p w14:paraId="6B3707C3" w14:textId="68B44CF7" w:rsidR="005235BD" w:rsidRDefault="005235BD" w:rsidP="009C4B2B">
      <w:pPr>
        <w:pStyle w:val="Brdtext"/>
      </w:pPr>
      <w:r w:rsidRPr="005A14EF">
        <w:rPr>
          <w:b/>
        </w:rPr>
        <w:t>3 §</w:t>
      </w:r>
      <w:r>
        <w:tab/>
        <w:t xml:space="preserve"> </w:t>
      </w:r>
    </w:p>
    <w:p w14:paraId="42C24832" w14:textId="77777777" w:rsidR="005235BD" w:rsidRDefault="005235BD" w:rsidP="00A118B1">
      <w:pPr>
        <w:pStyle w:val="Brdtext"/>
        <w:shd w:val="clear" w:color="auto" w:fill="D9D9D9" w:themeFill="background1" w:themeFillShade="D9"/>
        <w:rPr>
          <w:i/>
          <w:iCs/>
        </w:rPr>
      </w:pPr>
      <w:r>
        <w:rPr>
          <w:i/>
          <w:iCs/>
        </w:rPr>
        <w:t>Vid fastställandet av vad som ingår i leverantörens tillhandahållande</w:t>
      </w:r>
      <w:r w:rsidRPr="009950DE">
        <w:rPr>
          <w:i/>
          <w:iCs/>
        </w:rPr>
        <w:t xml:space="preserve"> av samhällsviktig</w:t>
      </w:r>
      <w:r>
        <w:rPr>
          <w:i/>
          <w:iCs/>
        </w:rPr>
        <w:t>a</w:t>
      </w:r>
      <w:r w:rsidRPr="009950DE">
        <w:rPr>
          <w:i/>
          <w:iCs/>
        </w:rPr>
        <w:t xml:space="preserve"> tjänst</w:t>
      </w:r>
      <w:r>
        <w:rPr>
          <w:i/>
          <w:iCs/>
        </w:rPr>
        <w:t xml:space="preserve">er, och vad som därmed omfattas av leverantörens riskanalys, kan leverantören använda den kartläggning som ska utföras enligt 3 kap. 3 § punkt 1 och 4 denna föreskrift.  </w:t>
      </w:r>
    </w:p>
    <w:p w14:paraId="32587870" w14:textId="77777777" w:rsidR="005235BD" w:rsidRDefault="005235BD" w:rsidP="00A118B1">
      <w:pPr>
        <w:pStyle w:val="Brdtext"/>
        <w:shd w:val="clear" w:color="auto" w:fill="D9D9D9" w:themeFill="background1" w:themeFillShade="D9"/>
        <w:rPr>
          <w:i/>
          <w:iCs/>
        </w:rPr>
      </w:pPr>
      <w:r>
        <w:rPr>
          <w:i/>
          <w:iCs/>
        </w:rPr>
        <w:lastRenderedPageBreak/>
        <w:t>I analysen bör leverantören ta ställning till vilka delar av leverantörens nätverk och informationssystem som behövs för att kunna upprätthålla kontinuerligt tillhandahållande av samhällsviktiga tjänster, samt vilka delar av nätverket och informationssystemet som kan påverka tillhandahållandet om de inte fungerar på grund av bristande säkerhet.</w:t>
      </w:r>
    </w:p>
    <w:p w14:paraId="0711251A" w14:textId="77777777" w:rsidR="005235BD" w:rsidRDefault="005235BD" w:rsidP="009C4B2B">
      <w:pPr>
        <w:pStyle w:val="Brdtext"/>
        <w:shd w:val="clear" w:color="auto" w:fill="D9D9D9" w:themeFill="background1" w:themeFillShade="D9"/>
      </w:pPr>
      <w:r>
        <w:rPr>
          <w:i/>
          <w:iCs/>
        </w:rPr>
        <w:t>I analysen bör leverantören även ta ställning till vilka applikationer och verktyg som krävs för att åtgärda brister som medför att de informationssäkerhetskrav som anges i 3 kap inte uppfylls.</w:t>
      </w:r>
    </w:p>
    <w:p w14:paraId="37C903B4" w14:textId="77777777" w:rsidR="005235BD" w:rsidRDefault="005235BD" w:rsidP="005235BD">
      <w:pPr>
        <w:spacing w:after="160" w:line="0" w:lineRule="auto"/>
        <w:rPr>
          <w:rFonts w:asciiTheme="majorHAnsi" w:eastAsiaTheme="majorEastAsia" w:hAnsiTheme="majorHAnsi" w:cstheme="majorBidi"/>
          <w:b/>
          <w:szCs w:val="26"/>
        </w:rPr>
      </w:pPr>
      <w:r>
        <w:rPr>
          <w:rFonts w:eastAsiaTheme="majorEastAsia" w:cstheme="majorBidi"/>
          <w:b/>
          <w:szCs w:val="26"/>
        </w:rPr>
        <w:br w:type="page"/>
      </w:r>
    </w:p>
    <w:p w14:paraId="359FDF24" w14:textId="77777777" w:rsidR="005235BD" w:rsidRDefault="005235BD" w:rsidP="005235BD">
      <w:pPr>
        <w:pStyle w:val="Brdtext"/>
        <w:rPr>
          <w:rFonts w:eastAsiaTheme="majorEastAsia" w:cstheme="majorBidi"/>
          <w:b/>
          <w:szCs w:val="26"/>
        </w:rPr>
      </w:pPr>
    </w:p>
    <w:p w14:paraId="51403E3F" w14:textId="1CD459EA" w:rsidR="005235BD" w:rsidRDefault="00B064C9" w:rsidP="005235BD">
      <w:pPr>
        <w:pStyle w:val="Rubrik2"/>
        <w:tabs>
          <w:tab w:val="left" w:pos="567"/>
        </w:tabs>
      </w:pPr>
      <w:r>
        <w:t xml:space="preserve">Allmänna råd till </w:t>
      </w:r>
      <w:r w:rsidR="005235BD">
        <w:t xml:space="preserve">2 kap. </w:t>
      </w:r>
      <w:r w:rsidR="00F96D73">
        <w:t xml:space="preserve">om </w:t>
      </w:r>
      <w:r w:rsidR="005235BD">
        <w:t>Riskanalys</w:t>
      </w:r>
    </w:p>
    <w:p w14:paraId="28A0CC62" w14:textId="77777777" w:rsidR="005235BD" w:rsidRPr="006B5A2B" w:rsidRDefault="005235BD" w:rsidP="005235BD">
      <w:pPr>
        <w:pStyle w:val="Brdtext"/>
      </w:pPr>
    </w:p>
    <w:p w14:paraId="74FD851F" w14:textId="3C52EF29" w:rsidR="005235BD" w:rsidRDefault="005235BD" w:rsidP="00B064C9">
      <w:pPr>
        <w:pStyle w:val="Brdtext"/>
      </w:pPr>
      <w:r>
        <w:rPr>
          <w:b/>
        </w:rPr>
        <w:t>2 §</w:t>
      </w:r>
      <w:r>
        <w:tab/>
      </w:r>
    </w:p>
    <w:p w14:paraId="4E445BFF" w14:textId="240FD0E1" w:rsidR="005235BD" w:rsidRPr="00D3539A" w:rsidRDefault="005235BD" w:rsidP="005235BD">
      <w:pPr>
        <w:pStyle w:val="Brdtext"/>
        <w:shd w:val="clear" w:color="auto" w:fill="D9D9D9" w:themeFill="background1" w:themeFillShade="D9"/>
        <w:rPr>
          <w:i/>
          <w:iCs/>
        </w:rPr>
      </w:pPr>
      <w:r w:rsidRPr="00D33082">
        <w:rPr>
          <w:i/>
          <w:iCs/>
        </w:rPr>
        <w:t>Omvärldsbevakning</w:t>
      </w:r>
      <w:r>
        <w:rPr>
          <w:i/>
          <w:iCs/>
        </w:rPr>
        <w:t>en</w:t>
      </w:r>
      <w:r w:rsidRPr="00D33082">
        <w:rPr>
          <w:i/>
          <w:iCs/>
        </w:rPr>
        <w:t xml:space="preserve"> bör utföras </w:t>
      </w:r>
      <w:r>
        <w:rPr>
          <w:i/>
          <w:iCs/>
        </w:rPr>
        <w:t>regelbundet</w:t>
      </w:r>
      <w:r w:rsidRPr="00D33082">
        <w:rPr>
          <w:i/>
          <w:iCs/>
        </w:rPr>
        <w:t xml:space="preserve"> och vara en integrerad del av leverantörens verksamhet.</w:t>
      </w:r>
    </w:p>
    <w:p w14:paraId="2F8A2AA4" w14:textId="38E2C4A6" w:rsidR="005235BD" w:rsidRDefault="005235BD" w:rsidP="005235BD">
      <w:pPr>
        <w:pStyle w:val="Brdtext"/>
      </w:pPr>
      <w:r>
        <w:rPr>
          <w:b/>
        </w:rPr>
        <w:t>3</w:t>
      </w:r>
      <w:r w:rsidRPr="005A14EF">
        <w:rPr>
          <w:b/>
        </w:rPr>
        <w:t xml:space="preserve"> §</w:t>
      </w:r>
      <w:r>
        <w:tab/>
      </w:r>
    </w:p>
    <w:p w14:paraId="6292A9B9" w14:textId="77777777" w:rsidR="005235BD" w:rsidRPr="00C11026" w:rsidRDefault="005235BD" w:rsidP="005235BD">
      <w:pPr>
        <w:pStyle w:val="Brdtext"/>
        <w:shd w:val="clear" w:color="auto" w:fill="D9D9D9" w:themeFill="background1" w:themeFillShade="D9"/>
        <w:rPr>
          <w:i/>
          <w:iCs/>
        </w:rPr>
      </w:pPr>
      <w:r w:rsidRPr="00C11026">
        <w:rPr>
          <w:i/>
          <w:iCs/>
        </w:rPr>
        <w:t>Sannolikhet kan värderas på olika sätt. Värderingen kan exempelvis ske genom att ange en procent av sannolikheten och omvandla de</w:t>
      </w:r>
      <w:r>
        <w:rPr>
          <w:i/>
          <w:iCs/>
        </w:rPr>
        <w:t>n</w:t>
      </w:r>
      <w:r w:rsidRPr="00C11026">
        <w:rPr>
          <w:i/>
          <w:iCs/>
        </w:rPr>
        <w:t xml:space="preserve"> till poäng (exempelvis 0 – 25 % ges 1 poäng, 26 – 50 % ges 2 poäng o.s.v.). Ett annat exempel är att jämföra riskers sannolikhet med varandra och rangordna riskerna sinsemellan.</w:t>
      </w:r>
    </w:p>
    <w:p w14:paraId="2F85F75F" w14:textId="77777777" w:rsidR="005235BD" w:rsidRPr="00C11026" w:rsidRDefault="005235BD" w:rsidP="005235BD">
      <w:pPr>
        <w:pStyle w:val="Brdtext"/>
        <w:shd w:val="clear" w:color="auto" w:fill="D9D9D9" w:themeFill="background1" w:themeFillShade="D9"/>
        <w:rPr>
          <w:i/>
          <w:iCs/>
        </w:rPr>
      </w:pPr>
      <w:r w:rsidRPr="00C11026">
        <w:rPr>
          <w:i/>
          <w:iCs/>
        </w:rPr>
        <w:t xml:space="preserve">Konsekvens av en risk kan också värderas på olika sätt. Beroende på verksamhet kan konsekvensen av en risk värderas utifrån </w:t>
      </w:r>
      <w:r>
        <w:rPr>
          <w:i/>
          <w:iCs/>
        </w:rPr>
        <w:t xml:space="preserve">exempelvis </w:t>
      </w:r>
      <w:r w:rsidRPr="00C11026">
        <w:rPr>
          <w:i/>
          <w:iCs/>
        </w:rPr>
        <w:t xml:space="preserve">ekonomisk effekt, antal användare som berörs, återställningstid för </w:t>
      </w:r>
      <w:r>
        <w:rPr>
          <w:i/>
          <w:iCs/>
        </w:rPr>
        <w:t xml:space="preserve">tillhandahållandet </w:t>
      </w:r>
      <w:r w:rsidRPr="00C11026">
        <w:rPr>
          <w:i/>
          <w:iCs/>
        </w:rPr>
        <w:t>av den samhällsviktiga tjänsten</w:t>
      </w:r>
      <w:r>
        <w:rPr>
          <w:i/>
          <w:iCs/>
        </w:rPr>
        <w:t xml:space="preserve"> vid avbrott</w:t>
      </w:r>
      <w:r w:rsidRPr="00C11026">
        <w:rPr>
          <w:i/>
          <w:iCs/>
        </w:rPr>
        <w:t xml:space="preserve"> eller möjligheten att återuppta </w:t>
      </w:r>
      <w:r>
        <w:rPr>
          <w:i/>
          <w:iCs/>
        </w:rPr>
        <w:t>tillhandhållandet</w:t>
      </w:r>
      <w:r w:rsidRPr="00C11026">
        <w:rPr>
          <w:i/>
          <w:iCs/>
        </w:rPr>
        <w:t xml:space="preserve"> av den samhällsviktiga tjänsten.</w:t>
      </w:r>
    </w:p>
    <w:p w14:paraId="3239A9EB" w14:textId="33A0DA0A" w:rsidR="005235BD" w:rsidRDefault="005235BD" w:rsidP="00E84448">
      <w:pPr>
        <w:pStyle w:val="Brdtext"/>
      </w:pPr>
      <w:r>
        <w:rPr>
          <w:b/>
        </w:rPr>
        <w:t>4</w:t>
      </w:r>
      <w:r w:rsidRPr="005A14EF">
        <w:rPr>
          <w:b/>
        </w:rPr>
        <w:t xml:space="preserve"> §</w:t>
      </w:r>
      <w:r>
        <w:tab/>
      </w:r>
    </w:p>
    <w:p w14:paraId="69387648" w14:textId="77777777" w:rsidR="005235BD" w:rsidRDefault="005235BD" w:rsidP="00A118B1">
      <w:pPr>
        <w:pStyle w:val="Brdtext"/>
        <w:shd w:val="clear" w:color="auto" w:fill="D9D9D9" w:themeFill="background1" w:themeFillShade="D9"/>
        <w:rPr>
          <w:i/>
          <w:iCs/>
        </w:rPr>
      </w:pPr>
      <w:r w:rsidRPr="00C11026">
        <w:rPr>
          <w:i/>
          <w:iCs/>
        </w:rPr>
        <w:t xml:space="preserve">Leverantörens bedömning i riskanalysen av de incidenter som kan uppstå i </w:t>
      </w:r>
      <w:r>
        <w:rPr>
          <w:i/>
          <w:iCs/>
        </w:rPr>
        <w:t>leverantörens nätverk och informationssystem</w:t>
      </w:r>
      <w:r w:rsidRPr="00C11026">
        <w:rPr>
          <w:i/>
          <w:iCs/>
        </w:rPr>
        <w:t xml:space="preserve"> bör avse både incidenter som sker direkt i </w:t>
      </w:r>
      <w:r>
        <w:rPr>
          <w:i/>
          <w:iCs/>
        </w:rPr>
        <w:t>dessa</w:t>
      </w:r>
      <w:r w:rsidRPr="00C11026">
        <w:rPr>
          <w:i/>
          <w:iCs/>
        </w:rPr>
        <w:t xml:space="preserve"> liksom</w:t>
      </w:r>
      <w:r>
        <w:rPr>
          <w:i/>
          <w:iCs/>
        </w:rPr>
        <w:t xml:space="preserve"> sådana</w:t>
      </w:r>
      <w:r w:rsidRPr="00C11026">
        <w:rPr>
          <w:i/>
          <w:iCs/>
        </w:rPr>
        <w:t xml:space="preserve"> incidenter som uppstår</w:t>
      </w:r>
      <w:r>
        <w:rPr>
          <w:i/>
          <w:iCs/>
        </w:rPr>
        <w:t xml:space="preserve"> utanför leverantörens nätverk och informationssystem</w:t>
      </w:r>
      <w:r w:rsidRPr="00C11026">
        <w:rPr>
          <w:i/>
          <w:iCs/>
        </w:rPr>
        <w:t xml:space="preserve">en som påverkar </w:t>
      </w:r>
      <w:r>
        <w:rPr>
          <w:i/>
          <w:iCs/>
        </w:rPr>
        <w:t>dem.</w:t>
      </w:r>
    </w:p>
    <w:p w14:paraId="361EA729" w14:textId="77777777" w:rsidR="005235BD" w:rsidRPr="00C11026" w:rsidRDefault="005235BD" w:rsidP="00A118B1">
      <w:pPr>
        <w:pStyle w:val="Brdtext"/>
        <w:shd w:val="clear" w:color="auto" w:fill="D9D9D9" w:themeFill="background1" w:themeFillShade="D9"/>
        <w:rPr>
          <w:i/>
          <w:iCs/>
        </w:rPr>
      </w:pPr>
      <w:r>
        <w:rPr>
          <w:i/>
          <w:iCs/>
        </w:rPr>
        <w:t>Leverantören bör i riskanalysen ta ställning till risker som påverkar säkerhet, tillgänglighet, riktighet eller konfidentialitet i leverantörens nätverk och informationssystem.</w:t>
      </w:r>
    </w:p>
    <w:p w14:paraId="50FFA52A" w14:textId="77777777" w:rsidR="005235BD" w:rsidRPr="00C11026" w:rsidRDefault="005235BD" w:rsidP="00A118B1">
      <w:pPr>
        <w:pStyle w:val="Brdtext"/>
        <w:shd w:val="clear" w:color="auto" w:fill="D9D9D9" w:themeFill="background1" w:themeFillShade="D9"/>
        <w:rPr>
          <w:i/>
          <w:iCs/>
        </w:rPr>
      </w:pPr>
      <w:r w:rsidRPr="00C11026">
        <w:rPr>
          <w:i/>
          <w:iCs/>
        </w:rPr>
        <w:t xml:space="preserve">Incidenter som </w:t>
      </w:r>
      <w:r>
        <w:rPr>
          <w:i/>
          <w:iCs/>
        </w:rPr>
        <w:t xml:space="preserve">bör ingå i </w:t>
      </w:r>
      <w:r w:rsidRPr="00C11026">
        <w:rPr>
          <w:i/>
          <w:iCs/>
        </w:rPr>
        <w:t xml:space="preserve">en riskanalys </w:t>
      </w:r>
      <w:r>
        <w:rPr>
          <w:i/>
          <w:iCs/>
        </w:rPr>
        <w:t xml:space="preserve">kan </w:t>
      </w:r>
      <w:r w:rsidRPr="00C11026">
        <w:rPr>
          <w:i/>
          <w:iCs/>
        </w:rPr>
        <w:t xml:space="preserve">exempelvis </w:t>
      </w:r>
      <w:r>
        <w:rPr>
          <w:i/>
          <w:iCs/>
        </w:rPr>
        <w:t xml:space="preserve">vara </w:t>
      </w:r>
      <w:r w:rsidRPr="00C11026">
        <w:rPr>
          <w:i/>
          <w:iCs/>
        </w:rPr>
        <w:t xml:space="preserve">antagonistiska angrepp, tekniska fel, fel orsakade av människan </w:t>
      </w:r>
      <w:r>
        <w:rPr>
          <w:i/>
          <w:iCs/>
        </w:rPr>
        <w:t>eller</w:t>
      </w:r>
      <w:r w:rsidRPr="00C11026">
        <w:rPr>
          <w:i/>
          <w:iCs/>
        </w:rPr>
        <w:t xml:space="preserve"> naturpåverkan.</w:t>
      </w:r>
    </w:p>
    <w:p w14:paraId="7A700ADB" w14:textId="3CD97AEA" w:rsidR="005235BD" w:rsidRDefault="005235BD" w:rsidP="005235BD">
      <w:pPr>
        <w:pStyle w:val="Brdtext"/>
      </w:pPr>
      <w:r>
        <w:rPr>
          <w:b/>
        </w:rPr>
        <w:t>5</w:t>
      </w:r>
      <w:r w:rsidRPr="005A14EF">
        <w:rPr>
          <w:b/>
        </w:rPr>
        <w:t xml:space="preserve"> §</w:t>
      </w:r>
      <w:r>
        <w:tab/>
        <w:t xml:space="preserve"> </w:t>
      </w:r>
    </w:p>
    <w:p w14:paraId="375D6227" w14:textId="77777777" w:rsidR="005235BD" w:rsidRPr="00C11026" w:rsidRDefault="005235BD" w:rsidP="005235BD">
      <w:pPr>
        <w:pStyle w:val="Brdtext"/>
        <w:shd w:val="clear" w:color="auto" w:fill="D9D9D9" w:themeFill="background1" w:themeFillShade="D9"/>
        <w:rPr>
          <w:i/>
          <w:iCs/>
        </w:rPr>
      </w:pPr>
      <w:r w:rsidRPr="00B4528B">
        <w:rPr>
          <w:i/>
          <w:iCs/>
        </w:rPr>
        <w:t xml:space="preserve">Utöver den årliga uppdateringen bör </w:t>
      </w:r>
      <w:r>
        <w:rPr>
          <w:i/>
          <w:iCs/>
        </w:rPr>
        <w:t>r</w:t>
      </w:r>
      <w:r w:rsidRPr="00C11026">
        <w:rPr>
          <w:i/>
          <w:iCs/>
        </w:rPr>
        <w:t xml:space="preserve">iskanalysen uppdateras dels efter allvarliga incidenter, dels efter stora förändringar </w:t>
      </w:r>
      <w:r>
        <w:rPr>
          <w:i/>
          <w:iCs/>
        </w:rPr>
        <w:t>av leverantörens</w:t>
      </w:r>
      <w:r w:rsidRPr="00C11026">
        <w:rPr>
          <w:i/>
          <w:iCs/>
        </w:rPr>
        <w:t xml:space="preserve"> </w:t>
      </w:r>
      <w:r>
        <w:rPr>
          <w:i/>
          <w:iCs/>
        </w:rPr>
        <w:t>nätverk och informationssystem</w:t>
      </w:r>
      <w:r w:rsidRPr="00C11026">
        <w:rPr>
          <w:i/>
          <w:iCs/>
        </w:rPr>
        <w:t xml:space="preserve"> eller</w:t>
      </w:r>
      <w:r>
        <w:rPr>
          <w:i/>
          <w:iCs/>
        </w:rPr>
        <w:t xml:space="preserve"> stora förändringar</w:t>
      </w:r>
      <w:r w:rsidRPr="00C11026">
        <w:rPr>
          <w:i/>
          <w:iCs/>
        </w:rPr>
        <w:t xml:space="preserve"> i leverantörens organisation. </w:t>
      </w:r>
      <w:r>
        <w:rPr>
          <w:i/>
          <w:iCs/>
        </w:rPr>
        <w:t>I samband med uppdatering av</w:t>
      </w:r>
      <w:r w:rsidRPr="00C11026">
        <w:rPr>
          <w:i/>
          <w:iCs/>
        </w:rPr>
        <w:t xml:space="preserve"> riskanalysen bör</w:t>
      </w:r>
      <w:r>
        <w:rPr>
          <w:i/>
          <w:iCs/>
        </w:rPr>
        <w:t xml:space="preserve"> en</w:t>
      </w:r>
      <w:r w:rsidRPr="00C11026">
        <w:rPr>
          <w:i/>
          <w:iCs/>
        </w:rPr>
        <w:t xml:space="preserve"> </w:t>
      </w:r>
      <w:r>
        <w:rPr>
          <w:i/>
          <w:iCs/>
        </w:rPr>
        <w:t xml:space="preserve">uppdatering </w:t>
      </w:r>
      <w:r w:rsidRPr="00C11026">
        <w:rPr>
          <w:i/>
          <w:iCs/>
        </w:rPr>
        <w:t>även</w:t>
      </w:r>
      <w:r>
        <w:rPr>
          <w:i/>
          <w:iCs/>
        </w:rPr>
        <w:t xml:space="preserve"> ske av</w:t>
      </w:r>
      <w:r w:rsidRPr="00C11026">
        <w:rPr>
          <w:i/>
          <w:iCs/>
        </w:rPr>
        <w:t xml:space="preserve"> </w:t>
      </w:r>
      <w:r>
        <w:rPr>
          <w:i/>
          <w:iCs/>
        </w:rPr>
        <w:t xml:space="preserve">den </w:t>
      </w:r>
      <w:r w:rsidRPr="00C11026">
        <w:rPr>
          <w:i/>
          <w:iCs/>
        </w:rPr>
        <w:t>åtgärdsplan</w:t>
      </w:r>
      <w:r>
        <w:rPr>
          <w:i/>
          <w:iCs/>
        </w:rPr>
        <w:t xml:space="preserve"> som ingår i riskanalysen</w:t>
      </w:r>
      <w:r w:rsidRPr="00C11026">
        <w:rPr>
          <w:i/>
          <w:iCs/>
        </w:rPr>
        <w:t>.</w:t>
      </w:r>
    </w:p>
    <w:p w14:paraId="148B4FE8" w14:textId="77777777" w:rsidR="005235BD" w:rsidRDefault="005235BD" w:rsidP="005235BD">
      <w:pPr>
        <w:pStyle w:val="Brdtext"/>
      </w:pPr>
    </w:p>
    <w:p w14:paraId="3F8533AC" w14:textId="7E4D2F35" w:rsidR="005235BD" w:rsidRDefault="005235BD" w:rsidP="005235BD">
      <w:pPr>
        <w:pStyle w:val="Brdtext"/>
      </w:pPr>
      <w:r w:rsidRPr="004136A5">
        <w:rPr>
          <w:b/>
          <w:bCs/>
        </w:rPr>
        <w:t>6 §</w:t>
      </w:r>
      <w:r>
        <w:tab/>
        <w:t xml:space="preserve"> </w:t>
      </w:r>
    </w:p>
    <w:p w14:paraId="741C36C1" w14:textId="77777777" w:rsidR="005235BD" w:rsidRPr="00C11026" w:rsidRDefault="005235BD" w:rsidP="005235BD">
      <w:pPr>
        <w:pStyle w:val="Brdtext"/>
        <w:shd w:val="clear" w:color="auto" w:fill="D9D9D9" w:themeFill="background1" w:themeFillShade="D9"/>
        <w:rPr>
          <w:i/>
          <w:iCs/>
        </w:rPr>
      </w:pPr>
      <w:r>
        <w:rPr>
          <w:i/>
          <w:iCs/>
        </w:rPr>
        <w:t>Exempel på egenskaper och förutsättningar inom OT som kan behöva tas särskild hänsyn till är följande</w:t>
      </w:r>
      <w:r w:rsidRPr="00C11026">
        <w:rPr>
          <w:i/>
          <w:iCs/>
        </w:rPr>
        <w:t xml:space="preserve">: </w:t>
      </w:r>
    </w:p>
    <w:p w14:paraId="796D922E" w14:textId="77777777" w:rsidR="005235BD" w:rsidRPr="00C11026" w:rsidRDefault="005235BD" w:rsidP="005235BD">
      <w:pPr>
        <w:pStyle w:val="Brdtext"/>
        <w:numPr>
          <w:ilvl w:val="0"/>
          <w:numId w:val="39"/>
        </w:numPr>
        <w:shd w:val="clear" w:color="auto" w:fill="D9D9D9" w:themeFill="background1" w:themeFillShade="D9"/>
        <w:rPr>
          <w:i/>
          <w:iCs/>
        </w:rPr>
      </w:pPr>
      <w:r>
        <w:rPr>
          <w:i/>
          <w:iCs/>
        </w:rPr>
        <w:t>Realtidsfunktionalitet är ofta en förutsättning för tillhandahållande av samhällsviktiga tjänster. Ä</w:t>
      </w:r>
      <w:r w:rsidRPr="00C11026">
        <w:rPr>
          <w:i/>
          <w:iCs/>
        </w:rPr>
        <w:t xml:space="preserve">ven en </w:t>
      </w:r>
      <w:r>
        <w:rPr>
          <w:i/>
          <w:iCs/>
        </w:rPr>
        <w:t>mycket kort</w:t>
      </w:r>
      <w:r w:rsidRPr="00C11026">
        <w:rPr>
          <w:i/>
          <w:iCs/>
        </w:rPr>
        <w:t xml:space="preserve"> störning kan</w:t>
      </w:r>
      <w:r>
        <w:rPr>
          <w:i/>
          <w:iCs/>
        </w:rPr>
        <w:t xml:space="preserve"> </w:t>
      </w:r>
      <w:r w:rsidRPr="00C11026">
        <w:rPr>
          <w:i/>
          <w:iCs/>
        </w:rPr>
        <w:t>få stora konsekvenser.</w:t>
      </w:r>
    </w:p>
    <w:p w14:paraId="7B8DE984" w14:textId="77777777" w:rsidR="005235BD" w:rsidRPr="00C11026" w:rsidRDefault="005235BD" w:rsidP="005235BD">
      <w:pPr>
        <w:pStyle w:val="Brdtext"/>
        <w:numPr>
          <w:ilvl w:val="0"/>
          <w:numId w:val="39"/>
        </w:numPr>
        <w:shd w:val="clear" w:color="auto" w:fill="D9D9D9" w:themeFill="background1" w:themeFillShade="D9"/>
        <w:rPr>
          <w:i/>
          <w:iCs/>
        </w:rPr>
      </w:pPr>
      <w:r>
        <w:rPr>
          <w:i/>
          <w:iCs/>
        </w:rPr>
        <w:t>E</w:t>
      </w:r>
      <w:r w:rsidRPr="00C11026">
        <w:rPr>
          <w:i/>
          <w:iCs/>
        </w:rPr>
        <w:t xml:space="preserve">n </w:t>
      </w:r>
      <w:r>
        <w:rPr>
          <w:i/>
          <w:iCs/>
        </w:rPr>
        <w:t>mindre</w:t>
      </w:r>
      <w:r w:rsidRPr="00C11026">
        <w:rPr>
          <w:i/>
          <w:iCs/>
        </w:rPr>
        <w:t xml:space="preserve"> störning i OT kan få </w:t>
      </w:r>
      <w:r>
        <w:rPr>
          <w:i/>
          <w:iCs/>
        </w:rPr>
        <w:t>följdverkningar</w:t>
      </w:r>
      <w:r w:rsidRPr="00C11026">
        <w:rPr>
          <w:i/>
          <w:iCs/>
        </w:rPr>
        <w:t xml:space="preserve"> och </w:t>
      </w:r>
      <w:r>
        <w:rPr>
          <w:i/>
          <w:iCs/>
        </w:rPr>
        <w:t>innebära</w:t>
      </w:r>
      <w:r w:rsidRPr="00C11026">
        <w:rPr>
          <w:i/>
          <w:iCs/>
        </w:rPr>
        <w:t xml:space="preserve"> stor påverkan på omkringliggande </w:t>
      </w:r>
      <w:r>
        <w:rPr>
          <w:i/>
          <w:iCs/>
        </w:rPr>
        <w:t>informationssystem</w:t>
      </w:r>
      <w:r w:rsidRPr="00C11026">
        <w:rPr>
          <w:i/>
          <w:iCs/>
        </w:rPr>
        <w:t>.</w:t>
      </w:r>
    </w:p>
    <w:p w14:paraId="0E446212" w14:textId="77777777" w:rsidR="005235BD" w:rsidRPr="00C11026" w:rsidRDefault="005235BD" w:rsidP="005235BD">
      <w:pPr>
        <w:pStyle w:val="Brdtext"/>
        <w:numPr>
          <w:ilvl w:val="0"/>
          <w:numId w:val="39"/>
        </w:numPr>
        <w:shd w:val="clear" w:color="auto" w:fill="D9D9D9" w:themeFill="background1" w:themeFillShade="D9"/>
        <w:rPr>
          <w:i/>
          <w:iCs/>
        </w:rPr>
      </w:pPr>
      <w:r>
        <w:rPr>
          <w:i/>
          <w:iCs/>
        </w:rPr>
        <w:t>Informationssystem</w:t>
      </w:r>
      <w:r w:rsidRPr="00C11026">
        <w:rPr>
          <w:i/>
          <w:iCs/>
        </w:rPr>
        <w:t xml:space="preserve"> i OT</w:t>
      </w:r>
      <w:r>
        <w:rPr>
          <w:i/>
          <w:iCs/>
        </w:rPr>
        <w:t xml:space="preserve"> kan vara</w:t>
      </w:r>
      <w:r w:rsidRPr="00C11026">
        <w:rPr>
          <w:i/>
          <w:iCs/>
        </w:rPr>
        <w:t xml:space="preserve"> </w:t>
      </w:r>
      <w:r>
        <w:rPr>
          <w:i/>
          <w:iCs/>
        </w:rPr>
        <w:t>av äldre snitt</w:t>
      </w:r>
      <w:r w:rsidRPr="00C11026">
        <w:rPr>
          <w:i/>
          <w:iCs/>
        </w:rPr>
        <w:t xml:space="preserve"> </w:t>
      </w:r>
      <w:r>
        <w:rPr>
          <w:i/>
          <w:iCs/>
        </w:rPr>
        <w:t xml:space="preserve">och inte avsedda att vara uppkopplade enligt nuvarande användning. Detta kan medföra särskild sårbarhet i leverantörens nätverk och informationssystem.  </w:t>
      </w:r>
    </w:p>
    <w:p w14:paraId="7072FC6A" w14:textId="77777777" w:rsidR="005235BD" w:rsidRDefault="005235BD" w:rsidP="005235BD">
      <w:pPr>
        <w:spacing w:after="160" w:line="0" w:lineRule="auto"/>
        <w:rPr>
          <w:rFonts w:asciiTheme="majorHAnsi" w:hAnsiTheme="majorHAnsi" w:cstheme="majorHAnsi"/>
        </w:rPr>
      </w:pPr>
      <w:r>
        <w:br w:type="page"/>
      </w:r>
    </w:p>
    <w:p w14:paraId="064A7156" w14:textId="06BFDC44" w:rsidR="005235BD" w:rsidRDefault="00C457D4" w:rsidP="005235BD">
      <w:pPr>
        <w:pStyle w:val="Rubrik2"/>
      </w:pPr>
      <w:r>
        <w:lastRenderedPageBreak/>
        <w:t xml:space="preserve">Allmänna råd till </w:t>
      </w:r>
      <w:r w:rsidR="005235BD">
        <w:t xml:space="preserve">3 kap. </w:t>
      </w:r>
      <w:r w:rsidR="00F96D73">
        <w:t xml:space="preserve">om </w:t>
      </w:r>
      <w:r w:rsidR="005235BD">
        <w:t>Informationssäkerhetskrav</w:t>
      </w:r>
    </w:p>
    <w:p w14:paraId="70EAA969" w14:textId="77777777" w:rsidR="005235BD" w:rsidRDefault="005235BD" w:rsidP="005235BD">
      <w:pPr>
        <w:pStyle w:val="Brdtext"/>
      </w:pPr>
    </w:p>
    <w:p w14:paraId="757211AF" w14:textId="77777777" w:rsidR="005235BD" w:rsidRPr="00C11026" w:rsidRDefault="005235BD" w:rsidP="005235BD">
      <w:pPr>
        <w:pStyle w:val="Brdtext"/>
        <w:shd w:val="clear" w:color="auto" w:fill="D9D9D9" w:themeFill="background1" w:themeFillShade="D9"/>
        <w:spacing w:after="120"/>
        <w:rPr>
          <w:i/>
          <w:iCs/>
        </w:rPr>
      </w:pPr>
      <w:r>
        <w:rPr>
          <w:i/>
          <w:iCs/>
        </w:rPr>
        <w:t>I uppfyllnaden av informationssäkerhetskrav bör leverantören ta ställning till de egenskaper och förutsättningar som identifierats vid utförd riskanalys enligt 2 kap. 6 §.</w:t>
      </w:r>
      <w:r w:rsidRPr="00204BD3">
        <w:rPr>
          <w:i/>
          <w:iCs/>
        </w:rPr>
        <w:t xml:space="preserve">  </w:t>
      </w:r>
    </w:p>
    <w:p w14:paraId="341D602F" w14:textId="77777777" w:rsidR="005235BD" w:rsidRDefault="005235BD" w:rsidP="005235BD">
      <w:pPr>
        <w:pStyle w:val="Brdtext"/>
      </w:pPr>
    </w:p>
    <w:p w14:paraId="1F12A39D" w14:textId="1F37FB61" w:rsidR="005235BD" w:rsidRDefault="005235BD" w:rsidP="00C457D4">
      <w:pPr>
        <w:pStyle w:val="Brdtext"/>
        <w:spacing w:after="120"/>
      </w:pPr>
      <w:r w:rsidRPr="00056D07">
        <w:rPr>
          <w:b/>
          <w:bCs/>
        </w:rPr>
        <w:t>1 §</w:t>
      </w:r>
      <w:r>
        <w:tab/>
      </w:r>
    </w:p>
    <w:p w14:paraId="291B8D89" w14:textId="77777777" w:rsidR="005235BD" w:rsidRDefault="005235BD" w:rsidP="005235BD">
      <w:pPr>
        <w:pStyle w:val="Brdtext"/>
        <w:shd w:val="clear" w:color="auto" w:fill="D9D9D9" w:themeFill="background1" w:themeFillShade="D9"/>
        <w:spacing w:after="120"/>
        <w:rPr>
          <w:i/>
          <w:iCs/>
        </w:rPr>
      </w:pPr>
      <w:r>
        <w:rPr>
          <w:i/>
          <w:iCs/>
        </w:rPr>
        <w:t>I arbetet med att uppfylla</w:t>
      </w:r>
      <w:r w:rsidRPr="00C11026">
        <w:rPr>
          <w:i/>
          <w:iCs/>
        </w:rPr>
        <w:t xml:space="preserve"> </w:t>
      </w:r>
      <w:r>
        <w:rPr>
          <w:i/>
          <w:iCs/>
        </w:rPr>
        <w:t>informationssäkerhets</w:t>
      </w:r>
      <w:r w:rsidRPr="00C11026">
        <w:rPr>
          <w:i/>
          <w:iCs/>
        </w:rPr>
        <w:t xml:space="preserve">krav bör </w:t>
      </w:r>
      <w:r w:rsidRPr="00903ADF">
        <w:rPr>
          <w:i/>
          <w:iCs/>
        </w:rPr>
        <w:t>leverantören</w:t>
      </w:r>
      <w:r>
        <w:rPr>
          <w:i/>
          <w:iCs/>
        </w:rPr>
        <w:t xml:space="preserve"> även</w:t>
      </w:r>
      <w:r w:rsidRPr="00C11026" w:rsidDel="009E2BFE">
        <w:rPr>
          <w:i/>
          <w:iCs/>
        </w:rPr>
        <w:t xml:space="preserve"> </w:t>
      </w:r>
      <w:r w:rsidRPr="00C11026">
        <w:rPr>
          <w:i/>
          <w:iCs/>
        </w:rPr>
        <w:t xml:space="preserve">ta ställning till vilken typ av övervakning och larmfunktioner som </w:t>
      </w:r>
      <w:r>
        <w:rPr>
          <w:i/>
          <w:iCs/>
        </w:rPr>
        <w:t>krävs</w:t>
      </w:r>
      <w:r w:rsidRPr="00C11026">
        <w:rPr>
          <w:i/>
          <w:iCs/>
        </w:rPr>
        <w:t xml:space="preserve"> för att</w:t>
      </w:r>
      <w:r>
        <w:rPr>
          <w:i/>
          <w:iCs/>
        </w:rPr>
        <w:t xml:space="preserve"> åtgärder</w:t>
      </w:r>
      <w:r w:rsidRPr="00C11026">
        <w:rPr>
          <w:i/>
          <w:iCs/>
        </w:rPr>
        <w:t xml:space="preserve"> ska funger</w:t>
      </w:r>
      <w:r>
        <w:rPr>
          <w:i/>
          <w:iCs/>
        </w:rPr>
        <w:t>a.</w:t>
      </w:r>
    </w:p>
    <w:p w14:paraId="21118FE5" w14:textId="77777777" w:rsidR="005235BD" w:rsidRDefault="005235BD" w:rsidP="005235BD">
      <w:pPr>
        <w:pStyle w:val="Brdtext"/>
        <w:shd w:val="clear" w:color="auto" w:fill="D9D9D9" w:themeFill="background1" w:themeFillShade="D9"/>
        <w:spacing w:after="120"/>
        <w:rPr>
          <w:i/>
          <w:iCs/>
        </w:rPr>
      </w:pPr>
      <w:r>
        <w:rPr>
          <w:i/>
          <w:iCs/>
        </w:rPr>
        <w:t>Systemloggar bör hanteras med hög säkerhet för att undvika att de riskerar att manipuleras. Leverantören bör även införa analysverktyg för att möjliggöra upptäckt av otillåtna aktiviteter, och för att kunna spåra aktiviteter i forensiskt eller problemlösande syfte. Loggning</w:t>
      </w:r>
      <w:r w:rsidRPr="00204BD3">
        <w:rPr>
          <w:i/>
          <w:iCs/>
        </w:rPr>
        <w:t xml:space="preserve"> bör ske </w:t>
      </w:r>
      <w:r>
        <w:rPr>
          <w:i/>
          <w:iCs/>
        </w:rPr>
        <w:t>av</w:t>
      </w:r>
      <w:r w:rsidRPr="00204BD3">
        <w:rPr>
          <w:i/>
          <w:iCs/>
        </w:rPr>
        <w:t xml:space="preserve"> olika typer av transaktioner, </w:t>
      </w:r>
      <w:r>
        <w:rPr>
          <w:i/>
          <w:iCs/>
        </w:rPr>
        <w:t xml:space="preserve">exempelvis av </w:t>
      </w:r>
      <w:r w:rsidRPr="00204BD3">
        <w:rPr>
          <w:i/>
          <w:iCs/>
        </w:rPr>
        <w:t xml:space="preserve">nätverkstrafik mellan segment, nätverkstrafik </w:t>
      </w:r>
      <w:r>
        <w:rPr>
          <w:i/>
          <w:iCs/>
        </w:rPr>
        <w:t>externt</w:t>
      </w:r>
      <w:r w:rsidRPr="00204BD3">
        <w:rPr>
          <w:i/>
          <w:iCs/>
        </w:rPr>
        <w:t xml:space="preserve"> mot internet, förändringar i konfiguration av nätverkets skalskydd </w:t>
      </w:r>
      <w:r>
        <w:rPr>
          <w:i/>
          <w:iCs/>
        </w:rPr>
        <w:t xml:space="preserve">eller </w:t>
      </w:r>
      <w:r w:rsidRPr="00204BD3">
        <w:rPr>
          <w:i/>
          <w:iCs/>
        </w:rPr>
        <w:t xml:space="preserve">tilldelning av administratörsrättigheter. </w:t>
      </w:r>
      <w:r>
        <w:rPr>
          <w:i/>
          <w:iCs/>
        </w:rPr>
        <w:t>Leverantör</w:t>
      </w:r>
      <w:r w:rsidRPr="00204BD3">
        <w:rPr>
          <w:i/>
          <w:iCs/>
        </w:rPr>
        <w:t xml:space="preserve">en bör testa och kalibrera larmfunktioner </w:t>
      </w:r>
      <w:r>
        <w:rPr>
          <w:i/>
          <w:iCs/>
        </w:rPr>
        <w:t>för</w:t>
      </w:r>
      <w:r w:rsidRPr="00204BD3">
        <w:rPr>
          <w:i/>
          <w:iCs/>
        </w:rPr>
        <w:t xml:space="preserve"> att </w:t>
      </w:r>
      <w:r>
        <w:rPr>
          <w:i/>
          <w:iCs/>
        </w:rPr>
        <w:t xml:space="preserve">säkerställa att </w:t>
      </w:r>
      <w:r w:rsidRPr="00204BD3">
        <w:rPr>
          <w:i/>
          <w:iCs/>
        </w:rPr>
        <w:t>rätt person</w:t>
      </w:r>
      <w:r>
        <w:rPr>
          <w:i/>
          <w:iCs/>
        </w:rPr>
        <w:t xml:space="preserve"> inom organisationen tillhandahålls relevant information</w:t>
      </w:r>
      <w:r w:rsidRPr="00204BD3">
        <w:rPr>
          <w:i/>
          <w:iCs/>
        </w:rPr>
        <w:t>.</w:t>
      </w:r>
    </w:p>
    <w:p w14:paraId="39CA16D7" w14:textId="77777777" w:rsidR="005235BD" w:rsidRDefault="005235BD" w:rsidP="005235BD">
      <w:pPr>
        <w:pStyle w:val="Brdtext"/>
        <w:spacing w:after="120"/>
      </w:pPr>
    </w:p>
    <w:p w14:paraId="291B47CF" w14:textId="373B90BC" w:rsidR="005235BD" w:rsidRDefault="005235BD" w:rsidP="00C457D4">
      <w:pPr>
        <w:pStyle w:val="Brdtext"/>
        <w:spacing w:after="120"/>
      </w:pPr>
      <w:r w:rsidRPr="00B41190">
        <w:rPr>
          <w:b/>
          <w:bCs/>
        </w:rPr>
        <w:t>2 §</w:t>
      </w:r>
      <w:r w:rsidRPr="00A16FC0">
        <w:tab/>
        <w:t xml:space="preserve"> </w:t>
      </w:r>
    </w:p>
    <w:p w14:paraId="169E8B65" w14:textId="77777777" w:rsidR="005235BD" w:rsidRPr="007762C0" w:rsidRDefault="005235BD" w:rsidP="005235BD">
      <w:pPr>
        <w:pStyle w:val="Brdtext"/>
        <w:shd w:val="clear" w:color="auto" w:fill="D9D9D9" w:themeFill="background1" w:themeFillShade="D9"/>
        <w:tabs>
          <w:tab w:val="clear" w:pos="567"/>
        </w:tabs>
        <w:spacing w:after="120"/>
        <w:rPr>
          <w:i/>
          <w:iCs/>
        </w:rPr>
      </w:pPr>
      <w:r>
        <w:rPr>
          <w:i/>
          <w:iCs/>
        </w:rPr>
        <w:t xml:space="preserve">Processer enligt punkt 2 </w:t>
      </w:r>
      <w:r w:rsidRPr="007762C0">
        <w:rPr>
          <w:i/>
          <w:iCs/>
        </w:rPr>
        <w:t xml:space="preserve">bör vara dokumenterade </w:t>
      </w:r>
      <w:r>
        <w:rPr>
          <w:i/>
          <w:iCs/>
        </w:rPr>
        <w:t xml:space="preserve">för att uppnå </w:t>
      </w:r>
      <w:r w:rsidRPr="007762C0">
        <w:rPr>
          <w:i/>
          <w:iCs/>
        </w:rPr>
        <w:t>tydlig</w:t>
      </w:r>
      <w:r>
        <w:rPr>
          <w:i/>
          <w:iCs/>
        </w:rPr>
        <w:t>he</w:t>
      </w:r>
      <w:r w:rsidRPr="007762C0">
        <w:rPr>
          <w:i/>
          <w:iCs/>
        </w:rPr>
        <w:t xml:space="preserve">t </w:t>
      </w:r>
      <w:r>
        <w:rPr>
          <w:i/>
          <w:iCs/>
        </w:rPr>
        <w:t xml:space="preserve">om </w:t>
      </w:r>
      <w:r w:rsidRPr="007762C0">
        <w:rPr>
          <w:i/>
          <w:iCs/>
        </w:rPr>
        <w:t xml:space="preserve">vem </w:t>
      </w:r>
      <w:r>
        <w:rPr>
          <w:i/>
          <w:iCs/>
        </w:rPr>
        <w:t xml:space="preserve">hos leverantören </w:t>
      </w:r>
      <w:r w:rsidRPr="007762C0">
        <w:rPr>
          <w:i/>
          <w:iCs/>
        </w:rPr>
        <w:t xml:space="preserve">som ska utföra arbetet, hur det ska utföras, </w:t>
      </w:r>
      <w:r>
        <w:rPr>
          <w:i/>
          <w:iCs/>
        </w:rPr>
        <w:t>liksom</w:t>
      </w:r>
      <w:r w:rsidRPr="007762C0">
        <w:rPr>
          <w:i/>
          <w:iCs/>
        </w:rPr>
        <w:t xml:space="preserve"> vem som är mottagare av resultatet</w:t>
      </w:r>
      <w:r>
        <w:rPr>
          <w:i/>
          <w:iCs/>
        </w:rPr>
        <w:t xml:space="preserve"> från processerna.</w:t>
      </w:r>
    </w:p>
    <w:p w14:paraId="5B566833" w14:textId="77777777" w:rsidR="005235BD" w:rsidRPr="00A16FC0" w:rsidRDefault="005235BD" w:rsidP="005235BD">
      <w:pPr>
        <w:pStyle w:val="Brdtext"/>
        <w:spacing w:after="120"/>
      </w:pPr>
    </w:p>
    <w:p w14:paraId="6E5B0179" w14:textId="0AD491E2" w:rsidR="005235BD" w:rsidRDefault="005235BD" w:rsidP="00C457D4">
      <w:pPr>
        <w:pStyle w:val="Brdtext"/>
        <w:spacing w:after="120"/>
      </w:pPr>
      <w:r w:rsidRPr="00E00E1B">
        <w:rPr>
          <w:b/>
          <w:bCs/>
        </w:rPr>
        <w:t>3 §</w:t>
      </w:r>
      <w:r w:rsidRPr="00A16FC0">
        <w:tab/>
      </w:r>
      <w:r>
        <w:t xml:space="preserve"> </w:t>
      </w:r>
    </w:p>
    <w:p w14:paraId="34547CFD" w14:textId="77777777" w:rsidR="005235BD" w:rsidRDefault="005235BD" w:rsidP="005235BD">
      <w:pPr>
        <w:pStyle w:val="Brdtext"/>
        <w:shd w:val="clear" w:color="auto" w:fill="D9D9D9" w:themeFill="background1" w:themeFillShade="D9"/>
        <w:rPr>
          <w:i/>
          <w:iCs/>
        </w:rPr>
      </w:pPr>
      <w:r>
        <w:rPr>
          <w:i/>
          <w:iCs/>
        </w:rPr>
        <w:t>Vid kartläggningen och analysen bör leverantören ta ställning till hur kritiskt informationssystemet är för tillhandahållande av samhällsviktiga tjänster, liksom hur känslig informationen är som hanteras i informationssystemet.</w:t>
      </w:r>
    </w:p>
    <w:p w14:paraId="284BBD78" w14:textId="77777777" w:rsidR="005235BD" w:rsidRDefault="005235BD" w:rsidP="005235BD">
      <w:pPr>
        <w:pStyle w:val="Brdtext"/>
        <w:shd w:val="clear" w:color="auto" w:fill="D9D9D9" w:themeFill="background1" w:themeFillShade="D9"/>
        <w:rPr>
          <w:i/>
          <w:iCs/>
        </w:rPr>
      </w:pPr>
      <w:r>
        <w:rPr>
          <w:i/>
          <w:iCs/>
        </w:rPr>
        <w:t>Om något av leverantörens informationssystem är externt bör särskild vikt läggas vid hur sådant externt informationssystem är uppkopplat mot leverantörens övriga nätverk och informationssystem.</w:t>
      </w:r>
    </w:p>
    <w:p w14:paraId="7CB069F9" w14:textId="77777777" w:rsidR="005235BD" w:rsidRPr="007762C0" w:rsidRDefault="005235BD" w:rsidP="005235BD">
      <w:pPr>
        <w:pStyle w:val="Brdtext"/>
        <w:shd w:val="clear" w:color="auto" w:fill="D9D9D9" w:themeFill="background1" w:themeFillShade="D9"/>
        <w:rPr>
          <w:i/>
          <w:iCs/>
        </w:rPr>
      </w:pPr>
      <w:r w:rsidRPr="007762C0">
        <w:rPr>
          <w:i/>
          <w:iCs/>
        </w:rPr>
        <w:t>Leverantören bör hantera hårdvaruinventering genom</w:t>
      </w:r>
      <w:r>
        <w:rPr>
          <w:i/>
          <w:iCs/>
        </w:rPr>
        <w:t xml:space="preserve"> att upprätta</w:t>
      </w:r>
      <w:r w:rsidRPr="007762C0">
        <w:rPr>
          <w:i/>
          <w:iCs/>
        </w:rPr>
        <w:t xml:space="preserve"> en s.k. ”vitlista” med godkänd hårdvara</w:t>
      </w:r>
      <w:r>
        <w:rPr>
          <w:i/>
          <w:iCs/>
        </w:rPr>
        <w:t>.</w:t>
      </w:r>
      <w:r w:rsidRPr="007762C0">
        <w:rPr>
          <w:i/>
          <w:iCs/>
        </w:rPr>
        <w:t xml:space="preserve"> </w:t>
      </w:r>
      <w:r>
        <w:rPr>
          <w:i/>
          <w:iCs/>
        </w:rPr>
        <w:t>N</w:t>
      </w:r>
      <w:r w:rsidRPr="007762C0">
        <w:rPr>
          <w:i/>
          <w:iCs/>
        </w:rPr>
        <w:t xml:space="preserve">ätverket bör övervakas så att leverantören </w:t>
      </w:r>
      <w:r>
        <w:rPr>
          <w:i/>
          <w:iCs/>
        </w:rPr>
        <w:t>uppmärksammar</w:t>
      </w:r>
      <w:r w:rsidRPr="007762C0">
        <w:rPr>
          <w:i/>
          <w:iCs/>
        </w:rPr>
        <w:t xml:space="preserve"> om en </w:t>
      </w:r>
      <w:r>
        <w:rPr>
          <w:i/>
          <w:iCs/>
        </w:rPr>
        <w:t xml:space="preserve">otillåten </w:t>
      </w:r>
      <w:r w:rsidRPr="007762C0">
        <w:rPr>
          <w:i/>
          <w:iCs/>
        </w:rPr>
        <w:t>enhet kopplas upp mot</w:t>
      </w:r>
      <w:r>
        <w:rPr>
          <w:i/>
          <w:iCs/>
        </w:rPr>
        <w:t xml:space="preserve"> leverantörens</w:t>
      </w:r>
      <w:r w:rsidRPr="007762C0">
        <w:rPr>
          <w:i/>
          <w:iCs/>
        </w:rPr>
        <w:t xml:space="preserve"> IT eller OT.</w:t>
      </w:r>
    </w:p>
    <w:p w14:paraId="16DE7D4E" w14:textId="77777777" w:rsidR="005235BD" w:rsidRDefault="005235BD" w:rsidP="005235BD">
      <w:pPr>
        <w:pStyle w:val="Brdtext"/>
        <w:shd w:val="clear" w:color="auto" w:fill="D9D9D9" w:themeFill="background1" w:themeFillShade="D9"/>
        <w:rPr>
          <w:i/>
          <w:iCs/>
        </w:rPr>
      </w:pPr>
      <w:r w:rsidRPr="007762C0">
        <w:rPr>
          <w:i/>
          <w:iCs/>
        </w:rPr>
        <w:t>Leverantören bör hantera mjukvaruinventering genom</w:t>
      </w:r>
      <w:r>
        <w:rPr>
          <w:i/>
          <w:iCs/>
        </w:rPr>
        <w:t xml:space="preserve"> att upprätta</w:t>
      </w:r>
      <w:r w:rsidRPr="007762C0">
        <w:rPr>
          <w:i/>
          <w:iCs/>
        </w:rPr>
        <w:t xml:space="preserve"> en s.k. ”vitlista” med godkänd mjukvara</w:t>
      </w:r>
      <w:r>
        <w:rPr>
          <w:i/>
          <w:iCs/>
        </w:rPr>
        <w:t>.</w:t>
      </w:r>
      <w:r w:rsidRPr="007762C0">
        <w:rPr>
          <w:i/>
          <w:iCs/>
        </w:rPr>
        <w:t xml:space="preserve"> </w:t>
      </w:r>
      <w:r>
        <w:rPr>
          <w:i/>
          <w:iCs/>
        </w:rPr>
        <w:t>Mjukvaran</w:t>
      </w:r>
      <w:r w:rsidRPr="007762C0">
        <w:rPr>
          <w:i/>
          <w:iCs/>
        </w:rPr>
        <w:t xml:space="preserve"> bör övervakas så att </w:t>
      </w:r>
      <w:r w:rsidRPr="007762C0">
        <w:rPr>
          <w:i/>
          <w:iCs/>
        </w:rPr>
        <w:lastRenderedPageBreak/>
        <w:t xml:space="preserve">leverantören </w:t>
      </w:r>
      <w:r>
        <w:rPr>
          <w:i/>
          <w:iCs/>
        </w:rPr>
        <w:t>uppmärksammar</w:t>
      </w:r>
      <w:r w:rsidRPr="007762C0">
        <w:rPr>
          <w:i/>
          <w:iCs/>
        </w:rPr>
        <w:t xml:space="preserve"> om något </w:t>
      </w:r>
      <w:r>
        <w:rPr>
          <w:i/>
          <w:iCs/>
        </w:rPr>
        <w:t xml:space="preserve">otillåtet </w:t>
      </w:r>
      <w:r w:rsidRPr="007762C0">
        <w:rPr>
          <w:i/>
          <w:iCs/>
        </w:rPr>
        <w:t>installeras i</w:t>
      </w:r>
      <w:r>
        <w:rPr>
          <w:i/>
          <w:iCs/>
        </w:rPr>
        <w:t xml:space="preserve"> leverantörens</w:t>
      </w:r>
      <w:r w:rsidRPr="007762C0">
        <w:rPr>
          <w:i/>
          <w:iCs/>
        </w:rPr>
        <w:t xml:space="preserve"> IT eller OT.</w:t>
      </w:r>
    </w:p>
    <w:p w14:paraId="7079D8F3" w14:textId="77777777" w:rsidR="005235BD" w:rsidRPr="007762C0" w:rsidRDefault="005235BD" w:rsidP="005235BD">
      <w:pPr>
        <w:pStyle w:val="Brdtext"/>
        <w:shd w:val="clear" w:color="auto" w:fill="D9D9D9" w:themeFill="background1" w:themeFillShade="D9"/>
        <w:rPr>
          <w:i/>
          <w:iCs/>
        </w:rPr>
      </w:pPr>
      <w:r>
        <w:rPr>
          <w:i/>
          <w:iCs/>
        </w:rPr>
        <w:t>S</w:t>
      </w:r>
      <w:r w:rsidRPr="00D33082">
        <w:rPr>
          <w:i/>
          <w:iCs/>
        </w:rPr>
        <w:t>ystemförteckning</w:t>
      </w:r>
      <w:r>
        <w:rPr>
          <w:i/>
          <w:iCs/>
        </w:rPr>
        <w:t>en</w:t>
      </w:r>
      <w:r w:rsidRPr="00D33082">
        <w:rPr>
          <w:i/>
          <w:iCs/>
        </w:rPr>
        <w:t xml:space="preserve"> kan vara manuellt upprättad eller genererad genom övervakningsapplikationer. Om verktyg som skannar</w:t>
      </w:r>
      <w:r>
        <w:rPr>
          <w:i/>
          <w:iCs/>
        </w:rPr>
        <w:t xml:space="preserve"> leverantörens</w:t>
      </w:r>
      <w:r w:rsidRPr="00D33082">
        <w:rPr>
          <w:i/>
          <w:iCs/>
        </w:rPr>
        <w:t xml:space="preserve"> nätverk</w:t>
      </w:r>
      <w:r>
        <w:rPr>
          <w:i/>
          <w:iCs/>
        </w:rPr>
        <w:t xml:space="preserve"> och informationssystem</w:t>
      </w:r>
      <w:r w:rsidRPr="00D33082">
        <w:rPr>
          <w:i/>
          <w:iCs/>
        </w:rPr>
        <w:t xml:space="preserve"> används för upprättande av systemförteckningen bör verktyget konfigureras för att möjliggöra underrättelser om nya </w:t>
      </w:r>
      <w:r>
        <w:rPr>
          <w:i/>
          <w:iCs/>
        </w:rPr>
        <w:t>informations</w:t>
      </w:r>
      <w:r w:rsidRPr="00D33082">
        <w:rPr>
          <w:i/>
          <w:iCs/>
        </w:rPr>
        <w:t>system identifieras i samband med skanningsprocessen.</w:t>
      </w:r>
    </w:p>
    <w:p w14:paraId="0D84C449" w14:textId="77777777" w:rsidR="005235BD" w:rsidRDefault="005235BD" w:rsidP="005235BD">
      <w:pPr>
        <w:pStyle w:val="Brdtext"/>
        <w:tabs>
          <w:tab w:val="clear" w:pos="567"/>
        </w:tabs>
        <w:spacing w:after="120"/>
        <w:ind w:left="360"/>
      </w:pPr>
    </w:p>
    <w:p w14:paraId="3E8D7E7C" w14:textId="581496C3" w:rsidR="005235BD" w:rsidRDefault="005235BD" w:rsidP="00C457D4">
      <w:pPr>
        <w:pStyle w:val="Brdtext"/>
        <w:spacing w:after="120"/>
      </w:pPr>
      <w:r w:rsidRPr="005F358A">
        <w:rPr>
          <w:b/>
          <w:bCs/>
        </w:rPr>
        <w:t>4 §</w:t>
      </w:r>
      <w:r>
        <w:tab/>
        <w:t xml:space="preserve"> </w:t>
      </w:r>
    </w:p>
    <w:p w14:paraId="553A3B41" w14:textId="77777777" w:rsidR="005235BD" w:rsidRDefault="005235BD" w:rsidP="005235BD">
      <w:pPr>
        <w:pStyle w:val="Brdtext"/>
        <w:shd w:val="clear" w:color="auto" w:fill="D9D9D9" w:themeFill="background1" w:themeFillShade="D9"/>
        <w:tabs>
          <w:tab w:val="clear" w:pos="567"/>
        </w:tabs>
        <w:spacing w:after="120"/>
        <w:rPr>
          <w:i/>
          <w:iCs/>
        </w:rPr>
      </w:pPr>
      <w:r>
        <w:rPr>
          <w:i/>
          <w:iCs/>
        </w:rPr>
        <w:t>Vid segmentering av nätverk bör leverantören</w:t>
      </w:r>
      <w:r w:rsidRPr="007762C0">
        <w:rPr>
          <w:i/>
          <w:iCs/>
        </w:rPr>
        <w:t xml:space="preserve"> ta ställning till </w:t>
      </w:r>
      <w:r>
        <w:rPr>
          <w:i/>
          <w:iCs/>
        </w:rPr>
        <w:t>vilken</w:t>
      </w:r>
      <w:r w:rsidRPr="007762C0">
        <w:rPr>
          <w:i/>
          <w:iCs/>
        </w:rPr>
        <w:t xml:space="preserve"> typ av information som finns i segmentet, vilka säkerhetsfunktioner som är införda och</w:t>
      </w:r>
      <w:r>
        <w:rPr>
          <w:i/>
          <w:iCs/>
        </w:rPr>
        <w:t xml:space="preserve"> om</w:t>
      </w:r>
      <w:r w:rsidRPr="007762C0">
        <w:rPr>
          <w:i/>
          <w:iCs/>
        </w:rPr>
        <w:t xml:space="preserve"> segmentet kommunicerar externt.</w:t>
      </w:r>
    </w:p>
    <w:p w14:paraId="36000F25" w14:textId="77777777" w:rsidR="005235BD" w:rsidRDefault="005235BD" w:rsidP="005235BD">
      <w:pPr>
        <w:pStyle w:val="Brdtext"/>
        <w:shd w:val="clear" w:color="auto" w:fill="D9D9D9" w:themeFill="background1" w:themeFillShade="D9"/>
        <w:tabs>
          <w:tab w:val="clear" w:pos="567"/>
        </w:tabs>
        <w:spacing w:after="120"/>
        <w:rPr>
          <w:i/>
          <w:iCs/>
        </w:rPr>
      </w:pPr>
      <w:r>
        <w:rPr>
          <w:i/>
          <w:iCs/>
        </w:rPr>
        <w:t>För att minimera användande av administrationsrättigheter bör leverantören dels konfigurera sina behörighetsregler så att en administratör bara använder höjda behörigheter i de fall det är nödvändigt, dels säkerställa att så få personer som möjligt har tillgång till höjd behörighet.</w:t>
      </w:r>
    </w:p>
    <w:p w14:paraId="3B51D2D0" w14:textId="77777777" w:rsidR="005235BD" w:rsidRDefault="005235BD" w:rsidP="005235BD">
      <w:pPr>
        <w:pStyle w:val="Brdtext"/>
        <w:shd w:val="clear" w:color="auto" w:fill="D9D9D9" w:themeFill="background1" w:themeFillShade="D9"/>
        <w:tabs>
          <w:tab w:val="clear" w:pos="567"/>
        </w:tabs>
        <w:spacing w:after="120"/>
        <w:rPr>
          <w:i/>
          <w:iCs/>
        </w:rPr>
      </w:pPr>
      <w:r>
        <w:rPr>
          <w:i/>
          <w:iCs/>
        </w:rPr>
        <w:t xml:space="preserve">När leverantören väljer proportionella autentiseringsmetoder bör leverantören ta ställning till </w:t>
      </w:r>
    </w:p>
    <w:p w14:paraId="4D113D45" w14:textId="77777777" w:rsidR="005235BD" w:rsidRDefault="005235BD" w:rsidP="005235BD">
      <w:pPr>
        <w:pStyle w:val="Brdtext"/>
        <w:numPr>
          <w:ilvl w:val="0"/>
          <w:numId w:val="45"/>
        </w:numPr>
        <w:shd w:val="clear" w:color="auto" w:fill="D9D9D9" w:themeFill="background1" w:themeFillShade="D9"/>
        <w:tabs>
          <w:tab w:val="clear" w:pos="567"/>
        </w:tabs>
        <w:spacing w:after="120"/>
        <w:rPr>
          <w:i/>
          <w:iCs/>
        </w:rPr>
      </w:pPr>
      <w:r>
        <w:rPr>
          <w:i/>
          <w:iCs/>
        </w:rPr>
        <w:t xml:space="preserve">vilken behörighetsnivå en användarprofil har, </w:t>
      </w:r>
    </w:p>
    <w:p w14:paraId="29685363" w14:textId="77777777" w:rsidR="005235BD" w:rsidRDefault="005235BD" w:rsidP="005235BD">
      <w:pPr>
        <w:pStyle w:val="Brdtext"/>
        <w:numPr>
          <w:ilvl w:val="0"/>
          <w:numId w:val="45"/>
        </w:numPr>
        <w:shd w:val="clear" w:color="auto" w:fill="D9D9D9" w:themeFill="background1" w:themeFillShade="D9"/>
        <w:tabs>
          <w:tab w:val="clear" w:pos="567"/>
        </w:tabs>
        <w:spacing w:after="120"/>
        <w:rPr>
          <w:i/>
          <w:iCs/>
        </w:rPr>
      </w:pPr>
      <w:r>
        <w:rPr>
          <w:i/>
          <w:iCs/>
        </w:rPr>
        <w:t xml:space="preserve">i vad mån åtkomst sker på distans eller från leverantörens lokaler samt </w:t>
      </w:r>
    </w:p>
    <w:p w14:paraId="2253D635" w14:textId="77777777" w:rsidR="005235BD" w:rsidRDefault="005235BD" w:rsidP="005235BD">
      <w:pPr>
        <w:pStyle w:val="Brdtext"/>
        <w:numPr>
          <w:ilvl w:val="0"/>
          <w:numId w:val="45"/>
        </w:numPr>
        <w:shd w:val="clear" w:color="auto" w:fill="D9D9D9" w:themeFill="background1" w:themeFillShade="D9"/>
        <w:tabs>
          <w:tab w:val="clear" w:pos="567"/>
        </w:tabs>
        <w:spacing w:after="120"/>
        <w:rPr>
          <w:i/>
          <w:iCs/>
        </w:rPr>
      </w:pPr>
      <w:r>
        <w:rPr>
          <w:i/>
          <w:iCs/>
        </w:rPr>
        <w:t>känsligheten i den information som hanteras via inloggningen.</w:t>
      </w:r>
    </w:p>
    <w:p w14:paraId="054D6F8C" w14:textId="77777777" w:rsidR="005235BD" w:rsidRPr="007762C0" w:rsidRDefault="005235BD" w:rsidP="005235BD">
      <w:pPr>
        <w:pStyle w:val="Brdtext"/>
        <w:shd w:val="clear" w:color="auto" w:fill="D9D9D9" w:themeFill="background1" w:themeFillShade="D9"/>
        <w:tabs>
          <w:tab w:val="clear" w:pos="567"/>
        </w:tabs>
        <w:spacing w:after="120"/>
        <w:rPr>
          <w:i/>
          <w:iCs/>
        </w:rPr>
      </w:pPr>
      <w:r>
        <w:rPr>
          <w:i/>
          <w:iCs/>
        </w:rPr>
        <w:t xml:space="preserve">Loggning bör ske avseende allt tillträde till den hårdvara och de lokaler vari leverantörens centrala nätverk och informationssystem är beläget. </w:t>
      </w:r>
    </w:p>
    <w:p w14:paraId="06BCFB7F" w14:textId="77777777" w:rsidR="005235BD" w:rsidRPr="00A16FC0" w:rsidRDefault="005235BD" w:rsidP="005235BD">
      <w:pPr>
        <w:pStyle w:val="Brdtext"/>
        <w:spacing w:after="120"/>
        <w:rPr>
          <w:u w:val="single"/>
        </w:rPr>
      </w:pPr>
    </w:p>
    <w:p w14:paraId="0CEA6121" w14:textId="7E81C9A6" w:rsidR="005235BD" w:rsidRPr="00A16FC0" w:rsidRDefault="005235BD" w:rsidP="00C457D4">
      <w:pPr>
        <w:pStyle w:val="Brdtext"/>
        <w:spacing w:after="120"/>
      </w:pPr>
      <w:r w:rsidRPr="003A6C12">
        <w:rPr>
          <w:b/>
          <w:bCs/>
        </w:rPr>
        <w:t>5 §</w:t>
      </w:r>
      <w:r w:rsidRPr="00A16FC0">
        <w:tab/>
      </w:r>
    </w:p>
    <w:p w14:paraId="169CF6EC" w14:textId="77777777" w:rsidR="005235BD" w:rsidRPr="00204BD3" w:rsidRDefault="005235BD" w:rsidP="005235BD">
      <w:pPr>
        <w:pStyle w:val="Brdtext"/>
        <w:shd w:val="clear" w:color="auto" w:fill="D9D9D9" w:themeFill="background1" w:themeFillShade="D9"/>
        <w:spacing w:after="120"/>
        <w:rPr>
          <w:i/>
          <w:iCs/>
        </w:rPr>
      </w:pPr>
      <w:r w:rsidRPr="00204BD3">
        <w:rPr>
          <w:i/>
          <w:iCs/>
        </w:rPr>
        <w:t xml:space="preserve">Enheter </w:t>
      </w:r>
      <w:r>
        <w:rPr>
          <w:i/>
          <w:iCs/>
        </w:rPr>
        <w:t xml:space="preserve">kan </w:t>
      </w:r>
      <w:r w:rsidRPr="00204BD3">
        <w:rPr>
          <w:i/>
          <w:iCs/>
        </w:rPr>
        <w:t xml:space="preserve">härdas </w:t>
      </w:r>
      <w:proofErr w:type="gramStart"/>
      <w:r w:rsidRPr="00204BD3">
        <w:rPr>
          <w:i/>
          <w:iCs/>
        </w:rPr>
        <w:t>bl.a.</w:t>
      </w:r>
      <w:proofErr w:type="gramEnd"/>
      <w:r w:rsidRPr="00204BD3">
        <w:rPr>
          <w:i/>
          <w:iCs/>
        </w:rPr>
        <w:t xml:space="preserve"> genom </w:t>
      </w:r>
      <w:r>
        <w:rPr>
          <w:i/>
          <w:iCs/>
        </w:rPr>
        <w:t>av</w:t>
      </w:r>
      <w:r w:rsidRPr="00204BD3">
        <w:rPr>
          <w:i/>
          <w:iCs/>
        </w:rPr>
        <w:t>stäng</w:t>
      </w:r>
      <w:r>
        <w:rPr>
          <w:i/>
          <w:iCs/>
        </w:rPr>
        <w:t>ning</w:t>
      </w:r>
      <w:r w:rsidRPr="00204BD3">
        <w:rPr>
          <w:i/>
          <w:iCs/>
        </w:rPr>
        <w:t xml:space="preserve"> av förkonfigurerade tjänster, ändr</w:t>
      </w:r>
      <w:r>
        <w:rPr>
          <w:i/>
          <w:iCs/>
        </w:rPr>
        <w:t>ing av</w:t>
      </w:r>
      <w:r w:rsidRPr="00204BD3">
        <w:rPr>
          <w:i/>
          <w:iCs/>
        </w:rPr>
        <w:t xml:space="preserve"> lösenord på förinställda användarprofiler och </w:t>
      </w:r>
      <w:r>
        <w:rPr>
          <w:i/>
          <w:iCs/>
        </w:rPr>
        <w:t>av</w:t>
      </w:r>
      <w:r w:rsidRPr="00204BD3">
        <w:rPr>
          <w:i/>
          <w:iCs/>
        </w:rPr>
        <w:t>stäng</w:t>
      </w:r>
      <w:r>
        <w:rPr>
          <w:i/>
          <w:iCs/>
        </w:rPr>
        <w:t>ning</w:t>
      </w:r>
      <w:r w:rsidRPr="00204BD3">
        <w:rPr>
          <w:i/>
          <w:iCs/>
        </w:rPr>
        <w:t xml:space="preserve"> av schemalagda </w:t>
      </w:r>
      <w:r>
        <w:rPr>
          <w:i/>
          <w:iCs/>
        </w:rPr>
        <w:t>arbeten</w:t>
      </w:r>
      <w:r w:rsidRPr="00204BD3">
        <w:rPr>
          <w:i/>
          <w:iCs/>
        </w:rPr>
        <w:t xml:space="preserve">. </w:t>
      </w:r>
    </w:p>
    <w:p w14:paraId="1EB97D99" w14:textId="77777777" w:rsidR="005235BD" w:rsidRPr="00204BD3" w:rsidRDefault="005235BD" w:rsidP="005235BD">
      <w:pPr>
        <w:pStyle w:val="Brdtext"/>
        <w:spacing w:after="120"/>
        <w:rPr>
          <w:i/>
          <w:iCs/>
        </w:rPr>
      </w:pPr>
    </w:p>
    <w:p w14:paraId="796CBE95" w14:textId="73B8667A" w:rsidR="005235BD" w:rsidRPr="00A16FC0" w:rsidRDefault="005235BD" w:rsidP="00C457D4">
      <w:pPr>
        <w:pStyle w:val="Brdtext"/>
        <w:spacing w:after="120"/>
      </w:pPr>
      <w:r w:rsidRPr="003A6C12">
        <w:rPr>
          <w:b/>
          <w:bCs/>
        </w:rPr>
        <w:t>6 §</w:t>
      </w:r>
      <w:r w:rsidRPr="00A16FC0">
        <w:tab/>
      </w:r>
    </w:p>
    <w:p w14:paraId="5BD85AA1" w14:textId="77777777" w:rsidR="005235BD" w:rsidRPr="00204BD3" w:rsidRDefault="005235BD" w:rsidP="00A118B1">
      <w:pPr>
        <w:pStyle w:val="Brdtext"/>
        <w:shd w:val="clear" w:color="auto" w:fill="D9D9D9" w:themeFill="background1" w:themeFillShade="D9"/>
        <w:spacing w:after="120"/>
        <w:rPr>
          <w:i/>
          <w:iCs/>
        </w:rPr>
      </w:pPr>
      <w:r>
        <w:rPr>
          <w:i/>
          <w:iCs/>
        </w:rPr>
        <w:t>Redundans kan införas på olika tekniska nivåer (</w:t>
      </w:r>
      <w:proofErr w:type="gramStart"/>
      <w:r>
        <w:rPr>
          <w:i/>
          <w:iCs/>
        </w:rPr>
        <w:t>t.ex.</w:t>
      </w:r>
      <w:proofErr w:type="gramEnd"/>
      <w:r>
        <w:rPr>
          <w:i/>
          <w:iCs/>
        </w:rPr>
        <w:t xml:space="preserve"> hårdvara för förvaring, databas, nätverk eller ett helt datacenter), och kan även innebära krav på manuella, analoga arbetssätt.  </w:t>
      </w:r>
    </w:p>
    <w:p w14:paraId="1619C01C" w14:textId="77777777" w:rsidR="005235BD" w:rsidRDefault="005235BD" w:rsidP="005235BD">
      <w:pPr>
        <w:pStyle w:val="Brdtext"/>
      </w:pPr>
    </w:p>
    <w:p w14:paraId="74EBC20B" w14:textId="77777777" w:rsidR="005235BD" w:rsidRDefault="005235BD" w:rsidP="005235BD">
      <w:pPr>
        <w:spacing w:after="160" w:line="0" w:lineRule="auto"/>
        <w:rPr>
          <w:rFonts w:asciiTheme="majorHAnsi" w:eastAsiaTheme="majorEastAsia" w:hAnsiTheme="majorHAnsi" w:cstheme="majorBidi"/>
          <w:b/>
          <w:szCs w:val="26"/>
        </w:rPr>
      </w:pPr>
      <w:r>
        <w:br w:type="page"/>
      </w:r>
    </w:p>
    <w:p w14:paraId="138011F7" w14:textId="77777777" w:rsidR="005235BD" w:rsidRDefault="005235BD" w:rsidP="005235BD">
      <w:pPr>
        <w:spacing w:after="160" w:line="0" w:lineRule="auto"/>
        <w:rPr>
          <w:rFonts w:asciiTheme="majorHAnsi" w:eastAsiaTheme="majorEastAsia" w:hAnsiTheme="majorHAnsi" w:cstheme="majorBidi"/>
          <w:b/>
          <w:szCs w:val="26"/>
        </w:rPr>
      </w:pPr>
    </w:p>
    <w:p w14:paraId="333DEED9" w14:textId="075969CD" w:rsidR="005235BD" w:rsidRDefault="00C457D4" w:rsidP="005235BD">
      <w:pPr>
        <w:pStyle w:val="Rubrik2"/>
        <w:tabs>
          <w:tab w:val="left" w:pos="567"/>
        </w:tabs>
      </w:pPr>
      <w:r>
        <w:t xml:space="preserve">Allmänna råd till </w:t>
      </w:r>
      <w:r w:rsidR="005235BD">
        <w:t xml:space="preserve">4 kap. </w:t>
      </w:r>
      <w:r w:rsidR="00F96D73">
        <w:t xml:space="preserve">om </w:t>
      </w:r>
      <w:r w:rsidR="005235BD">
        <w:t>Säkerhetsåtgärder</w:t>
      </w:r>
    </w:p>
    <w:p w14:paraId="6A00C48F" w14:textId="77777777" w:rsidR="005235BD" w:rsidRDefault="005235BD" w:rsidP="005235BD">
      <w:pPr>
        <w:pStyle w:val="Brdtext"/>
      </w:pPr>
    </w:p>
    <w:p w14:paraId="3A8197F6" w14:textId="13E06A8D" w:rsidR="005235BD" w:rsidRDefault="005235BD" w:rsidP="005235BD">
      <w:pPr>
        <w:pStyle w:val="Brdtext"/>
      </w:pPr>
      <w:r w:rsidRPr="005A14EF">
        <w:rPr>
          <w:b/>
        </w:rPr>
        <w:t>1 §</w:t>
      </w:r>
      <w:r>
        <w:tab/>
        <w:t xml:space="preserve"> </w:t>
      </w:r>
    </w:p>
    <w:p w14:paraId="18AF956E" w14:textId="77777777" w:rsidR="005235BD" w:rsidRDefault="005235BD" w:rsidP="000930DC">
      <w:pPr>
        <w:pStyle w:val="Brdtext"/>
        <w:shd w:val="clear" w:color="auto" w:fill="D9D9D9" w:themeFill="background1" w:themeFillShade="D9"/>
        <w:rPr>
          <w:i/>
          <w:iCs/>
        </w:rPr>
      </w:pPr>
      <w:r>
        <w:rPr>
          <w:i/>
          <w:iCs/>
        </w:rPr>
        <w:t xml:space="preserve">För att sänka en risks värde </w:t>
      </w:r>
      <w:r w:rsidRPr="00204BD3">
        <w:rPr>
          <w:i/>
          <w:iCs/>
        </w:rPr>
        <w:t>bör åtgärden minska risk</w:t>
      </w:r>
      <w:r>
        <w:rPr>
          <w:i/>
          <w:iCs/>
        </w:rPr>
        <w:t>en</w:t>
      </w:r>
      <w:r w:rsidRPr="00204BD3">
        <w:rPr>
          <w:i/>
          <w:iCs/>
        </w:rPr>
        <w:t>s sannolikhet (</w:t>
      </w:r>
      <w:r>
        <w:rPr>
          <w:i/>
          <w:iCs/>
        </w:rPr>
        <w:t xml:space="preserve">vara </w:t>
      </w:r>
      <w:r w:rsidRPr="00204BD3">
        <w:rPr>
          <w:i/>
          <w:iCs/>
        </w:rPr>
        <w:t xml:space="preserve">förebyggande) eller </w:t>
      </w:r>
      <w:r>
        <w:rPr>
          <w:i/>
          <w:iCs/>
        </w:rPr>
        <w:t>minska</w:t>
      </w:r>
      <w:r w:rsidRPr="00204BD3">
        <w:rPr>
          <w:i/>
          <w:iCs/>
        </w:rPr>
        <w:t xml:space="preserve"> risk</w:t>
      </w:r>
      <w:r>
        <w:rPr>
          <w:i/>
          <w:iCs/>
        </w:rPr>
        <w:t>en</w:t>
      </w:r>
      <w:r w:rsidRPr="00204BD3">
        <w:rPr>
          <w:i/>
          <w:iCs/>
        </w:rPr>
        <w:t>s konsekvens (</w:t>
      </w:r>
      <w:r>
        <w:rPr>
          <w:i/>
          <w:iCs/>
        </w:rPr>
        <w:t xml:space="preserve">avse </w:t>
      </w:r>
      <w:r w:rsidRPr="00204BD3">
        <w:rPr>
          <w:i/>
          <w:iCs/>
        </w:rPr>
        <w:t>redundans och kontinuitet).</w:t>
      </w:r>
    </w:p>
    <w:p w14:paraId="7AFE42C8" w14:textId="3143DFEC" w:rsidR="005235BD" w:rsidRDefault="005235BD" w:rsidP="000930DC">
      <w:pPr>
        <w:pStyle w:val="Brdtext"/>
        <w:shd w:val="clear" w:color="auto" w:fill="D9D9D9" w:themeFill="background1" w:themeFillShade="D9"/>
        <w:rPr>
          <w:i/>
          <w:iCs/>
        </w:rPr>
      </w:pPr>
      <w:r w:rsidRPr="00C11026">
        <w:rPr>
          <w:i/>
          <w:iCs/>
        </w:rPr>
        <w:t xml:space="preserve">Leverantören bör utvärdera </w:t>
      </w:r>
      <w:r>
        <w:rPr>
          <w:i/>
          <w:iCs/>
        </w:rPr>
        <w:t>planerade</w:t>
      </w:r>
      <w:r w:rsidRPr="00C11026">
        <w:rPr>
          <w:i/>
          <w:iCs/>
        </w:rPr>
        <w:t xml:space="preserve"> säkerhetsåtgärder för att säkerställa att de inte leder till nya risker i leverantörens nätverk och informationssystem.</w:t>
      </w:r>
    </w:p>
    <w:p w14:paraId="0AF597EE" w14:textId="10ECDC39" w:rsidR="005235BD" w:rsidRDefault="005235BD" w:rsidP="005235BD">
      <w:pPr>
        <w:pStyle w:val="Brdtext"/>
      </w:pPr>
      <w:r>
        <w:rPr>
          <w:b/>
        </w:rPr>
        <w:t>4</w:t>
      </w:r>
      <w:r w:rsidRPr="003300A8">
        <w:rPr>
          <w:b/>
        </w:rPr>
        <w:t xml:space="preserve"> §</w:t>
      </w:r>
      <w:r>
        <w:tab/>
        <w:t xml:space="preserve"> </w:t>
      </w:r>
    </w:p>
    <w:p w14:paraId="0AD24CA5" w14:textId="77777777" w:rsidR="005235BD" w:rsidRDefault="005235BD" w:rsidP="000930DC">
      <w:pPr>
        <w:pStyle w:val="Brdtext"/>
        <w:shd w:val="clear" w:color="auto" w:fill="D9D9D9" w:themeFill="background1" w:themeFillShade="D9"/>
        <w:rPr>
          <w:i/>
        </w:rPr>
      </w:pPr>
      <w:r>
        <w:rPr>
          <w:i/>
        </w:rPr>
        <w:t>Vid prioritering av säkerhetsåtgärder bör leverantören utvärdera</w:t>
      </w:r>
    </w:p>
    <w:p w14:paraId="40D31ED9" w14:textId="77777777" w:rsidR="005235BD" w:rsidRDefault="005235BD" w:rsidP="005235BD">
      <w:pPr>
        <w:pStyle w:val="Brdtext"/>
        <w:numPr>
          <w:ilvl w:val="0"/>
          <w:numId w:val="46"/>
        </w:numPr>
        <w:shd w:val="clear" w:color="auto" w:fill="D9D9D9" w:themeFill="background1" w:themeFillShade="D9"/>
        <w:rPr>
          <w:i/>
        </w:rPr>
      </w:pPr>
      <w:r>
        <w:rPr>
          <w:i/>
        </w:rPr>
        <w:t>säkerhetsåtgärdens ändamål,</w:t>
      </w:r>
    </w:p>
    <w:p w14:paraId="7E533A8D" w14:textId="77777777" w:rsidR="005235BD" w:rsidRDefault="005235BD" w:rsidP="005235BD">
      <w:pPr>
        <w:pStyle w:val="Brdtext"/>
        <w:numPr>
          <w:ilvl w:val="0"/>
          <w:numId w:val="46"/>
        </w:numPr>
        <w:shd w:val="clear" w:color="auto" w:fill="D9D9D9" w:themeFill="background1" w:themeFillShade="D9"/>
        <w:rPr>
          <w:i/>
        </w:rPr>
      </w:pPr>
      <w:r>
        <w:rPr>
          <w:i/>
        </w:rPr>
        <w:t>det aktuella informationssystemets kritikalitet för tillhandahållande av samhällsviktiga tjänster enligt den analys som ska göras enligt 3 kap. 3 §, punkt 4, samt</w:t>
      </w:r>
    </w:p>
    <w:p w14:paraId="59FA3D9D" w14:textId="77777777" w:rsidR="005235BD" w:rsidRPr="00C27B7C" w:rsidRDefault="005235BD" w:rsidP="005235BD">
      <w:pPr>
        <w:pStyle w:val="Brdtext"/>
        <w:numPr>
          <w:ilvl w:val="0"/>
          <w:numId w:val="46"/>
        </w:numPr>
        <w:shd w:val="clear" w:color="auto" w:fill="D9D9D9" w:themeFill="background1" w:themeFillShade="D9"/>
      </w:pPr>
      <w:r>
        <w:rPr>
          <w:i/>
        </w:rPr>
        <w:t>informationssystemets tekniska förutsättningar.</w:t>
      </w:r>
    </w:p>
    <w:p w14:paraId="701A9CC1" w14:textId="77777777" w:rsidR="005235BD" w:rsidRDefault="005235BD" w:rsidP="005235BD">
      <w:pPr>
        <w:pStyle w:val="Brdtext"/>
      </w:pPr>
    </w:p>
    <w:p w14:paraId="791F18BA" w14:textId="77777777" w:rsidR="005235BD" w:rsidRPr="00204BD3" w:rsidRDefault="005235BD" w:rsidP="00204BD3">
      <w:pPr>
        <w:pStyle w:val="Brdtext"/>
      </w:pPr>
    </w:p>
    <w:sectPr w:rsidR="005235BD" w:rsidRPr="00204BD3" w:rsidSect="004B190F">
      <w:headerReference w:type="default" r:id="rId11"/>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D5643" w14:textId="77777777" w:rsidR="007041F4" w:rsidRDefault="007041F4" w:rsidP="00DF6D4E">
      <w:r>
        <w:separator/>
      </w:r>
    </w:p>
  </w:endnote>
  <w:endnote w:type="continuationSeparator" w:id="0">
    <w:p w14:paraId="11D20D3A" w14:textId="77777777" w:rsidR="007041F4" w:rsidRDefault="007041F4" w:rsidP="00DF6D4E">
      <w:r>
        <w:continuationSeparator/>
      </w:r>
    </w:p>
  </w:endnote>
  <w:endnote w:type="continuationNotice" w:id="1">
    <w:p w14:paraId="62F0F948" w14:textId="77777777" w:rsidR="007041F4" w:rsidRDefault="00704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D507" w14:textId="77777777" w:rsidR="007041F4" w:rsidRDefault="007041F4" w:rsidP="00DF6D4E">
      <w:r>
        <w:separator/>
      </w:r>
    </w:p>
  </w:footnote>
  <w:footnote w:type="continuationSeparator" w:id="0">
    <w:p w14:paraId="758BC388" w14:textId="77777777" w:rsidR="007041F4" w:rsidRDefault="007041F4" w:rsidP="00DF6D4E">
      <w:r>
        <w:continuationSeparator/>
      </w:r>
    </w:p>
  </w:footnote>
  <w:footnote w:type="continuationNotice" w:id="1">
    <w:p w14:paraId="623AE062" w14:textId="77777777" w:rsidR="007041F4" w:rsidRDefault="00704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5477" w14:textId="70ADCEE7" w:rsidR="000C6A06" w:rsidRDefault="000C6A0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92512"/>
    <w:multiLevelType w:val="hybridMultilevel"/>
    <w:tmpl w:val="E5F6A72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72B7F26"/>
    <w:multiLevelType w:val="hybridMultilevel"/>
    <w:tmpl w:val="01B82E68"/>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7F2DD4"/>
    <w:multiLevelType w:val="hybridMultilevel"/>
    <w:tmpl w:val="591E54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AE150BB"/>
    <w:multiLevelType w:val="hybridMultilevel"/>
    <w:tmpl w:val="85DE4088"/>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2B7D7A"/>
    <w:multiLevelType w:val="hybridMultilevel"/>
    <w:tmpl w:val="59B02646"/>
    <w:lvl w:ilvl="0" w:tplc="B824F242">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445B59"/>
    <w:multiLevelType w:val="hybridMultilevel"/>
    <w:tmpl w:val="E5F6A72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7" w15:restartNumberingAfterBreak="0">
    <w:nsid w:val="3846277B"/>
    <w:multiLevelType w:val="hybridMultilevel"/>
    <w:tmpl w:val="CE201EA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8E2AFE"/>
    <w:multiLevelType w:val="hybridMultilevel"/>
    <w:tmpl w:val="01067B2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B7C4831"/>
    <w:multiLevelType w:val="hybridMultilevel"/>
    <w:tmpl w:val="3382840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DE0161"/>
    <w:multiLevelType w:val="hybridMultilevel"/>
    <w:tmpl w:val="28B8A2C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F0F645F"/>
    <w:multiLevelType w:val="hybridMultilevel"/>
    <w:tmpl w:val="3276316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40FB22F7"/>
    <w:multiLevelType w:val="hybridMultilevel"/>
    <w:tmpl w:val="CCF8BF86"/>
    <w:lvl w:ilvl="0" w:tplc="0756ABAC">
      <w:start w:val="1"/>
      <w:numFmt w:val="decimal"/>
      <w:lvlText w:val="%1."/>
      <w:lvlJc w:val="left"/>
      <w:pPr>
        <w:ind w:left="927" w:hanging="360"/>
      </w:pPr>
      <w:rPr>
        <w:rFonts w:asciiTheme="minorHAnsi" w:eastAsiaTheme="minorHAnsi" w:hAnsiTheme="minorHAnsi" w:cstheme="minorBidi"/>
        <w:i w:val="0"/>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3" w15:restartNumberingAfterBreak="0">
    <w:nsid w:val="40FD6EEE"/>
    <w:multiLevelType w:val="hybridMultilevel"/>
    <w:tmpl w:val="8B42D10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5" w15:restartNumberingAfterBreak="0">
    <w:nsid w:val="4CE36D5B"/>
    <w:multiLevelType w:val="hybridMultilevel"/>
    <w:tmpl w:val="58147EBE"/>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4CE65B0E"/>
    <w:multiLevelType w:val="hybridMultilevel"/>
    <w:tmpl w:val="A782BC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ED5055E"/>
    <w:multiLevelType w:val="hybridMultilevel"/>
    <w:tmpl w:val="69A08FD2"/>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56AEB"/>
    <w:multiLevelType w:val="hybridMultilevel"/>
    <w:tmpl w:val="044C57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CF170A"/>
    <w:multiLevelType w:val="hybridMultilevel"/>
    <w:tmpl w:val="5F2ECF80"/>
    <w:lvl w:ilvl="0" w:tplc="0AC45834">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FF2C56"/>
    <w:multiLevelType w:val="hybridMultilevel"/>
    <w:tmpl w:val="51908FE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58B6190D"/>
    <w:multiLevelType w:val="hybridMultilevel"/>
    <w:tmpl w:val="01B82E68"/>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90F5724"/>
    <w:multiLevelType w:val="hybridMultilevel"/>
    <w:tmpl w:val="7EFE7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4" w15:restartNumberingAfterBreak="0">
    <w:nsid w:val="5F8123B1"/>
    <w:multiLevelType w:val="hybridMultilevel"/>
    <w:tmpl w:val="125822E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3F74B98"/>
    <w:multiLevelType w:val="hybridMultilevel"/>
    <w:tmpl w:val="1C600DB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7" w15:restartNumberingAfterBreak="0">
    <w:nsid w:val="70D740B4"/>
    <w:multiLevelType w:val="hybridMultilevel"/>
    <w:tmpl w:val="D92CE5D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22E17F1"/>
    <w:multiLevelType w:val="hybridMultilevel"/>
    <w:tmpl w:val="40487F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A951C4"/>
    <w:multiLevelType w:val="hybridMultilevel"/>
    <w:tmpl w:val="423AF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64B7C8A"/>
    <w:multiLevelType w:val="hybridMultilevel"/>
    <w:tmpl w:val="01B82E68"/>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A705EDE"/>
    <w:multiLevelType w:val="hybridMultilevel"/>
    <w:tmpl w:val="B344D400"/>
    <w:lvl w:ilvl="0" w:tplc="FA6CAFF4">
      <w:start w:val="2"/>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9"/>
  </w:num>
  <w:num w:numId="2">
    <w:abstractNumId w:val="24"/>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33"/>
  </w:num>
  <w:num w:numId="18">
    <w:abstractNumId w:val="36"/>
  </w:num>
  <w:num w:numId="19">
    <w:abstractNumId w:val="15"/>
  </w:num>
  <w:num w:numId="20">
    <w:abstractNumId w:val="38"/>
  </w:num>
  <w:num w:numId="21">
    <w:abstractNumId w:val="22"/>
  </w:num>
  <w:num w:numId="22">
    <w:abstractNumId w:val="27"/>
  </w:num>
  <w:num w:numId="23">
    <w:abstractNumId w:val="28"/>
  </w:num>
  <w:num w:numId="24">
    <w:abstractNumId w:val="13"/>
  </w:num>
  <w:num w:numId="25">
    <w:abstractNumId w:val="29"/>
  </w:num>
  <w:num w:numId="26">
    <w:abstractNumId w:val="10"/>
  </w:num>
  <w:num w:numId="27">
    <w:abstractNumId w:val="39"/>
  </w:num>
  <w:num w:numId="28">
    <w:abstractNumId w:val="40"/>
  </w:num>
  <w:num w:numId="29">
    <w:abstractNumId w:val="31"/>
  </w:num>
  <w:num w:numId="30">
    <w:abstractNumId w:val="35"/>
  </w:num>
  <w:num w:numId="31">
    <w:abstractNumId w:val="26"/>
  </w:num>
  <w:num w:numId="32">
    <w:abstractNumId w:val="41"/>
  </w:num>
  <w:num w:numId="33">
    <w:abstractNumId w:val="17"/>
  </w:num>
  <w:num w:numId="34">
    <w:abstractNumId w:val="37"/>
  </w:num>
  <w:num w:numId="35">
    <w:abstractNumId w:val="23"/>
  </w:num>
  <w:num w:numId="36">
    <w:abstractNumId w:val="30"/>
  </w:num>
  <w:num w:numId="37">
    <w:abstractNumId w:val="18"/>
  </w:num>
  <w:num w:numId="38">
    <w:abstractNumId w:val="34"/>
  </w:num>
  <w:num w:numId="39">
    <w:abstractNumId w:val="1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0"/>
  </w:num>
  <w:num w:numId="44">
    <w:abstractNumId w:val="11"/>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46"/>
    <w:rsid w:val="00000F4F"/>
    <w:rsid w:val="00001FF8"/>
    <w:rsid w:val="00005427"/>
    <w:rsid w:val="00010052"/>
    <w:rsid w:val="0001292D"/>
    <w:rsid w:val="00020379"/>
    <w:rsid w:val="0002274D"/>
    <w:rsid w:val="000237C8"/>
    <w:rsid w:val="000244AC"/>
    <w:rsid w:val="00026AA9"/>
    <w:rsid w:val="000361B0"/>
    <w:rsid w:val="00036E91"/>
    <w:rsid w:val="00036ED0"/>
    <w:rsid w:val="00042036"/>
    <w:rsid w:val="00043465"/>
    <w:rsid w:val="000437E8"/>
    <w:rsid w:val="00044A92"/>
    <w:rsid w:val="000459E9"/>
    <w:rsid w:val="000473AD"/>
    <w:rsid w:val="0004786B"/>
    <w:rsid w:val="00050625"/>
    <w:rsid w:val="00056B84"/>
    <w:rsid w:val="00056D07"/>
    <w:rsid w:val="00060BA1"/>
    <w:rsid w:val="00063161"/>
    <w:rsid w:val="00064D24"/>
    <w:rsid w:val="00064D31"/>
    <w:rsid w:val="000663FE"/>
    <w:rsid w:val="00066982"/>
    <w:rsid w:val="000669C1"/>
    <w:rsid w:val="000702B1"/>
    <w:rsid w:val="000737E5"/>
    <w:rsid w:val="00075B17"/>
    <w:rsid w:val="00076235"/>
    <w:rsid w:val="0007631B"/>
    <w:rsid w:val="0007653E"/>
    <w:rsid w:val="00080ECA"/>
    <w:rsid w:val="00080FFA"/>
    <w:rsid w:val="00082F21"/>
    <w:rsid w:val="00083051"/>
    <w:rsid w:val="000830D2"/>
    <w:rsid w:val="00085A73"/>
    <w:rsid w:val="0009097A"/>
    <w:rsid w:val="00091B77"/>
    <w:rsid w:val="000930DC"/>
    <w:rsid w:val="00093EEC"/>
    <w:rsid w:val="000957EA"/>
    <w:rsid w:val="00096EC6"/>
    <w:rsid w:val="000A5063"/>
    <w:rsid w:val="000A5A54"/>
    <w:rsid w:val="000A71FD"/>
    <w:rsid w:val="000B0C2F"/>
    <w:rsid w:val="000B1616"/>
    <w:rsid w:val="000B59D5"/>
    <w:rsid w:val="000B726F"/>
    <w:rsid w:val="000C1F7C"/>
    <w:rsid w:val="000C261D"/>
    <w:rsid w:val="000C37BC"/>
    <w:rsid w:val="000C6A06"/>
    <w:rsid w:val="000C7B12"/>
    <w:rsid w:val="000D11E3"/>
    <w:rsid w:val="000D23FB"/>
    <w:rsid w:val="000E143D"/>
    <w:rsid w:val="000E79E0"/>
    <w:rsid w:val="000F2835"/>
    <w:rsid w:val="000F4176"/>
    <w:rsid w:val="000F450B"/>
    <w:rsid w:val="00101A2C"/>
    <w:rsid w:val="00111198"/>
    <w:rsid w:val="00114B7E"/>
    <w:rsid w:val="00114E4E"/>
    <w:rsid w:val="00116A2D"/>
    <w:rsid w:val="001175F6"/>
    <w:rsid w:val="0012006D"/>
    <w:rsid w:val="00120803"/>
    <w:rsid w:val="00120CB6"/>
    <w:rsid w:val="00130364"/>
    <w:rsid w:val="0013082C"/>
    <w:rsid w:val="00132CB4"/>
    <w:rsid w:val="00140F7E"/>
    <w:rsid w:val="00143190"/>
    <w:rsid w:val="00143673"/>
    <w:rsid w:val="001452C3"/>
    <w:rsid w:val="00147493"/>
    <w:rsid w:val="00153868"/>
    <w:rsid w:val="00154EB8"/>
    <w:rsid w:val="00155584"/>
    <w:rsid w:val="001602B5"/>
    <w:rsid w:val="00164061"/>
    <w:rsid w:val="00174BA8"/>
    <w:rsid w:val="001759FE"/>
    <w:rsid w:val="001760F8"/>
    <w:rsid w:val="001768B1"/>
    <w:rsid w:val="00183EFB"/>
    <w:rsid w:val="00191CFA"/>
    <w:rsid w:val="001951B8"/>
    <w:rsid w:val="0019640C"/>
    <w:rsid w:val="00196486"/>
    <w:rsid w:val="001A00C0"/>
    <w:rsid w:val="001A0A06"/>
    <w:rsid w:val="001A48CC"/>
    <w:rsid w:val="001A77B7"/>
    <w:rsid w:val="001B0087"/>
    <w:rsid w:val="001B0986"/>
    <w:rsid w:val="001B11B4"/>
    <w:rsid w:val="001B3536"/>
    <w:rsid w:val="001B43DE"/>
    <w:rsid w:val="001B4949"/>
    <w:rsid w:val="001C140F"/>
    <w:rsid w:val="001C1778"/>
    <w:rsid w:val="001C2695"/>
    <w:rsid w:val="001C30E4"/>
    <w:rsid w:val="001C3780"/>
    <w:rsid w:val="001C46CE"/>
    <w:rsid w:val="001C6D41"/>
    <w:rsid w:val="001D23EC"/>
    <w:rsid w:val="001D2803"/>
    <w:rsid w:val="001D6333"/>
    <w:rsid w:val="001D6BD8"/>
    <w:rsid w:val="001E04C9"/>
    <w:rsid w:val="001E1402"/>
    <w:rsid w:val="001E1C79"/>
    <w:rsid w:val="001E4F32"/>
    <w:rsid w:val="001F0BED"/>
    <w:rsid w:val="001F1B73"/>
    <w:rsid w:val="001F374A"/>
    <w:rsid w:val="001F4D87"/>
    <w:rsid w:val="001F5206"/>
    <w:rsid w:val="00200814"/>
    <w:rsid w:val="00202481"/>
    <w:rsid w:val="002048BB"/>
    <w:rsid w:val="00204BD3"/>
    <w:rsid w:val="00204ED5"/>
    <w:rsid w:val="00205631"/>
    <w:rsid w:val="00207BD7"/>
    <w:rsid w:val="00212723"/>
    <w:rsid w:val="00215305"/>
    <w:rsid w:val="00220DF0"/>
    <w:rsid w:val="0022304D"/>
    <w:rsid w:val="002241EE"/>
    <w:rsid w:val="00224BC9"/>
    <w:rsid w:val="00227C95"/>
    <w:rsid w:val="0023055D"/>
    <w:rsid w:val="00236049"/>
    <w:rsid w:val="00236689"/>
    <w:rsid w:val="002366A6"/>
    <w:rsid w:val="002372E8"/>
    <w:rsid w:val="00240953"/>
    <w:rsid w:val="002411FA"/>
    <w:rsid w:val="00241F51"/>
    <w:rsid w:val="0024351E"/>
    <w:rsid w:val="002453FB"/>
    <w:rsid w:val="002507E2"/>
    <w:rsid w:val="00252175"/>
    <w:rsid w:val="002535B0"/>
    <w:rsid w:val="002538C4"/>
    <w:rsid w:val="0025553E"/>
    <w:rsid w:val="002555D1"/>
    <w:rsid w:val="0025727C"/>
    <w:rsid w:val="00262EA4"/>
    <w:rsid w:val="002664B2"/>
    <w:rsid w:val="00266530"/>
    <w:rsid w:val="00271A00"/>
    <w:rsid w:val="00273DEB"/>
    <w:rsid w:val="00274CE9"/>
    <w:rsid w:val="00281ECA"/>
    <w:rsid w:val="00282549"/>
    <w:rsid w:val="00283305"/>
    <w:rsid w:val="002845AD"/>
    <w:rsid w:val="002866C3"/>
    <w:rsid w:val="00286BF9"/>
    <w:rsid w:val="002902B8"/>
    <w:rsid w:val="00290D34"/>
    <w:rsid w:val="0029175A"/>
    <w:rsid w:val="00291B48"/>
    <w:rsid w:val="0029257F"/>
    <w:rsid w:val="00292FCA"/>
    <w:rsid w:val="00293E66"/>
    <w:rsid w:val="0029423D"/>
    <w:rsid w:val="002962B6"/>
    <w:rsid w:val="002A044C"/>
    <w:rsid w:val="002A307B"/>
    <w:rsid w:val="002A63E1"/>
    <w:rsid w:val="002B0FA1"/>
    <w:rsid w:val="002B2EDC"/>
    <w:rsid w:val="002B3C67"/>
    <w:rsid w:val="002B51AA"/>
    <w:rsid w:val="002B7B0C"/>
    <w:rsid w:val="002C1064"/>
    <w:rsid w:val="002C3B60"/>
    <w:rsid w:val="002D0433"/>
    <w:rsid w:val="002D244E"/>
    <w:rsid w:val="002D2FA5"/>
    <w:rsid w:val="002D6258"/>
    <w:rsid w:val="002D6832"/>
    <w:rsid w:val="002D6962"/>
    <w:rsid w:val="002E534D"/>
    <w:rsid w:val="002F1EE2"/>
    <w:rsid w:val="002F2986"/>
    <w:rsid w:val="002F39C8"/>
    <w:rsid w:val="002F53FE"/>
    <w:rsid w:val="00300182"/>
    <w:rsid w:val="00303E26"/>
    <w:rsid w:val="0030424A"/>
    <w:rsid w:val="00310BDA"/>
    <w:rsid w:val="003140DC"/>
    <w:rsid w:val="00314169"/>
    <w:rsid w:val="00317ECB"/>
    <w:rsid w:val="003226C0"/>
    <w:rsid w:val="00325B85"/>
    <w:rsid w:val="00327251"/>
    <w:rsid w:val="003300A8"/>
    <w:rsid w:val="00331E35"/>
    <w:rsid w:val="00335E3A"/>
    <w:rsid w:val="003412B1"/>
    <w:rsid w:val="00344803"/>
    <w:rsid w:val="00344A16"/>
    <w:rsid w:val="0035489D"/>
    <w:rsid w:val="00355526"/>
    <w:rsid w:val="0036321A"/>
    <w:rsid w:val="003632CB"/>
    <w:rsid w:val="00372860"/>
    <w:rsid w:val="00375C15"/>
    <w:rsid w:val="003823AC"/>
    <w:rsid w:val="00385516"/>
    <w:rsid w:val="00391804"/>
    <w:rsid w:val="0039351F"/>
    <w:rsid w:val="00393E7A"/>
    <w:rsid w:val="00395D77"/>
    <w:rsid w:val="003961A0"/>
    <w:rsid w:val="00397BC0"/>
    <w:rsid w:val="003A106E"/>
    <w:rsid w:val="003A1B36"/>
    <w:rsid w:val="003A466B"/>
    <w:rsid w:val="003A6C12"/>
    <w:rsid w:val="003B54B7"/>
    <w:rsid w:val="003B6763"/>
    <w:rsid w:val="003B7AD8"/>
    <w:rsid w:val="003C5D36"/>
    <w:rsid w:val="003C7CC5"/>
    <w:rsid w:val="003D1180"/>
    <w:rsid w:val="003D559F"/>
    <w:rsid w:val="003E1225"/>
    <w:rsid w:val="003E1BA4"/>
    <w:rsid w:val="003E4274"/>
    <w:rsid w:val="003F20D5"/>
    <w:rsid w:val="003F410A"/>
    <w:rsid w:val="004008B5"/>
    <w:rsid w:val="00402CF3"/>
    <w:rsid w:val="00404257"/>
    <w:rsid w:val="0040515E"/>
    <w:rsid w:val="00405B01"/>
    <w:rsid w:val="00411195"/>
    <w:rsid w:val="00411AFF"/>
    <w:rsid w:val="0041238D"/>
    <w:rsid w:val="004136A5"/>
    <w:rsid w:val="004159A6"/>
    <w:rsid w:val="004208B6"/>
    <w:rsid w:val="004222E2"/>
    <w:rsid w:val="0042376A"/>
    <w:rsid w:val="004249B7"/>
    <w:rsid w:val="00424F46"/>
    <w:rsid w:val="00426DF7"/>
    <w:rsid w:val="004279EE"/>
    <w:rsid w:val="00432685"/>
    <w:rsid w:val="00444354"/>
    <w:rsid w:val="00447B26"/>
    <w:rsid w:val="00456487"/>
    <w:rsid w:val="0045792C"/>
    <w:rsid w:val="004603AE"/>
    <w:rsid w:val="00460EA4"/>
    <w:rsid w:val="0046144F"/>
    <w:rsid w:val="00466146"/>
    <w:rsid w:val="00467552"/>
    <w:rsid w:val="00470263"/>
    <w:rsid w:val="00470408"/>
    <w:rsid w:val="004716BA"/>
    <w:rsid w:val="00471F45"/>
    <w:rsid w:val="00472BEF"/>
    <w:rsid w:val="004755D8"/>
    <w:rsid w:val="00476AF9"/>
    <w:rsid w:val="0048002C"/>
    <w:rsid w:val="00480149"/>
    <w:rsid w:val="00485045"/>
    <w:rsid w:val="0048678F"/>
    <w:rsid w:val="004926CF"/>
    <w:rsid w:val="004927E0"/>
    <w:rsid w:val="0049483C"/>
    <w:rsid w:val="004958A6"/>
    <w:rsid w:val="004A1772"/>
    <w:rsid w:val="004A2FDE"/>
    <w:rsid w:val="004A426E"/>
    <w:rsid w:val="004B190F"/>
    <w:rsid w:val="004B2B24"/>
    <w:rsid w:val="004B3BC8"/>
    <w:rsid w:val="004B4DE5"/>
    <w:rsid w:val="004B6FEF"/>
    <w:rsid w:val="004B7779"/>
    <w:rsid w:val="004C00D3"/>
    <w:rsid w:val="004C29DF"/>
    <w:rsid w:val="004C3D37"/>
    <w:rsid w:val="004D156B"/>
    <w:rsid w:val="004D1910"/>
    <w:rsid w:val="004D1C37"/>
    <w:rsid w:val="004D78F1"/>
    <w:rsid w:val="004D7F91"/>
    <w:rsid w:val="004E31F4"/>
    <w:rsid w:val="004F1455"/>
    <w:rsid w:val="004F1F6F"/>
    <w:rsid w:val="004F3724"/>
    <w:rsid w:val="00500004"/>
    <w:rsid w:val="0050190B"/>
    <w:rsid w:val="00506F49"/>
    <w:rsid w:val="005136E7"/>
    <w:rsid w:val="005148CA"/>
    <w:rsid w:val="00514943"/>
    <w:rsid w:val="00515020"/>
    <w:rsid w:val="0051512D"/>
    <w:rsid w:val="00517684"/>
    <w:rsid w:val="005235BD"/>
    <w:rsid w:val="0052416D"/>
    <w:rsid w:val="005242EF"/>
    <w:rsid w:val="00525464"/>
    <w:rsid w:val="005257C5"/>
    <w:rsid w:val="00530ED5"/>
    <w:rsid w:val="0053179E"/>
    <w:rsid w:val="00535136"/>
    <w:rsid w:val="005351E7"/>
    <w:rsid w:val="00536A20"/>
    <w:rsid w:val="00536BE3"/>
    <w:rsid w:val="005425BF"/>
    <w:rsid w:val="0054711A"/>
    <w:rsid w:val="00553BD9"/>
    <w:rsid w:val="005554F5"/>
    <w:rsid w:val="00556320"/>
    <w:rsid w:val="0055767C"/>
    <w:rsid w:val="005628CF"/>
    <w:rsid w:val="00565516"/>
    <w:rsid w:val="00565D3E"/>
    <w:rsid w:val="0056684E"/>
    <w:rsid w:val="00573959"/>
    <w:rsid w:val="005756B8"/>
    <w:rsid w:val="00577F25"/>
    <w:rsid w:val="00582FCD"/>
    <w:rsid w:val="00585610"/>
    <w:rsid w:val="005910C7"/>
    <w:rsid w:val="0059243C"/>
    <w:rsid w:val="0059298C"/>
    <w:rsid w:val="00593FB6"/>
    <w:rsid w:val="005942D0"/>
    <w:rsid w:val="00594720"/>
    <w:rsid w:val="00594C6E"/>
    <w:rsid w:val="00597BF1"/>
    <w:rsid w:val="005A14EF"/>
    <w:rsid w:val="005A17B6"/>
    <w:rsid w:val="005A2D5D"/>
    <w:rsid w:val="005A651C"/>
    <w:rsid w:val="005A7BED"/>
    <w:rsid w:val="005B06D0"/>
    <w:rsid w:val="005B2835"/>
    <w:rsid w:val="005B5084"/>
    <w:rsid w:val="005C265E"/>
    <w:rsid w:val="005C3244"/>
    <w:rsid w:val="005C5894"/>
    <w:rsid w:val="005D03C1"/>
    <w:rsid w:val="005D1949"/>
    <w:rsid w:val="005D36CF"/>
    <w:rsid w:val="005D4751"/>
    <w:rsid w:val="005D6C49"/>
    <w:rsid w:val="005D78B7"/>
    <w:rsid w:val="005E4BA9"/>
    <w:rsid w:val="005E4C91"/>
    <w:rsid w:val="005F358A"/>
    <w:rsid w:val="005F4CA1"/>
    <w:rsid w:val="005F6AEF"/>
    <w:rsid w:val="005F7C62"/>
    <w:rsid w:val="006004D3"/>
    <w:rsid w:val="006009C7"/>
    <w:rsid w:val="00601B43"/>
    <w:rsid w:val="006023E5"/>
    <w:rsid w:val="00602A6A"/>
    <w:rsid w:val="006078D3"/>
    <w:rsid w:val="00616C8E"/>
    <w:rsid w:val="00617270"/>
    <w:rsid w:val="0061727C"/>
    <w:rsid w:val="00617874"/>
    <w:rsid w:val="00621A57"/>
    <w:rsid w:val="0062686C"/>
    <w:rsid w:val="0062691A"/>
    <w:rsid w:val="00626AC4"/>
    <w:rsid w:val="00641F3C"/>
    <w:rsid w:val="00647416"/>
    <w:rsid w:val="00647AFB"/>
    <w:rsid w:val="00651632"/>
    <w:rsid w:val="006534C4"/>
    <w:rsid w:val="00653FAD"/>
    <w:rsid w:val="00654A45"/>
    <w:rsid w:val="00663BF4"/>
    <w:rsid w:val="00666149"/>
    <w:rsid w:val="006663B8"/>
    <w:rsid w:val="00666697"/>
    <w:rsid w:val="00666B83"/>
    <w:rsid w:val="0067190B"/>
    <w:rsid w:val="00676241"/>
    <w:rsid w:val="006838C6"/>
    <w:rsid w:val="006848F6"/>
    <w:rsid w:val="0069018F"/>
    <w:rsid w:val="00691596"/>
    <w:rsid w:val="00694B60"/>
    <w:rsid w:val="00694B90"/>
    <w:rsid w:val="00697C79"/>
    <w:rsid w:val="006A0E6D"/>
    <w:rsid w:val="006A12C6"/>
    <w:rsid w:val="006A396E"/>
    <w:rsid w:val="006A7CE8"/>
    <w:rsid w:val="006B0C14"/>
    <w:rsid w:val="006B4A2E"/>
    <w:rsid w:val="006B5A2B"/>
    <w:rsid w:val="006C04E8"/>
    <w:rsid w:val="006C0C3C"/>
    <w:rsid w:val="006C56D6"/>
    <w:rsid w:val="006D0E8A"/>
    <w:rsid w:val="006D5994"/>
    <w:rsid w:val="006D6D8A"/>
    <w:rsid w:val="006D7F5E"/>
    <w:rsid w:val="006E03F5"/>
    <w:rsid w:val="006E05C2"/>
    <w:rsid w:val="006E1858"/>
    <w:rsid w:val="006E2B17"/>
    <w:rsid w:val="006E790D"/>
    <w:rsid w:val="006F38E8"/>
    <w:rsid w:val="006F45E1"/>
    <w:rsid w:val="006F50F4"/>
    <w:rsid w:val="006F6171"/>
    <w:rsid w:val="007004F2"/>
    <w:rsid w:val="00702C44"/>
    <w:rsid w:val="00702CD0"/>
    <w:rsid w:val="007032CD"/>
    <w:rsid w:val="007041F4"/>
    <w:rsid w:val="00704B1C"/>
    <w:rsid w:val="007059EB"/>
    <w:rsid w:val="0071129C"/>
    <w:rsid w:val="00712E1E"/>
    <w:rsid w:val="007159E4"/>
    <w:rsid w:val="007327D4"/>
    <w:rsid w:val="007423E1"/>
    <w:rsid w:val="00744043"/>
    <w:rsid w:val="00750090"/>
    <w:rsid w:val="0075173F"/>
    <w:rsid w:val="00755B8E"/>
    <w:rsid w:val="007563F7"/>
    <w:rsid w:val="00756B06"/>
    <w:rsid w:val="0075714B"/>
    <w:rsid w:val="00763D07"/>
    <w:rsid w:val="007657B3"/>
    <w:rsid w:val="007671DC"/>
    <w:rsid w:val="00771D7D"/>
    <w:rsid w:val="00773301"/>
    <w:rsid w:val="007762C0"/>
    <w:rsid w:val="00780DA2"/>
    <w:rsid w:val="00781BE9"/>
    <w:rsid w:val="00782779"/>
    <w:rsid w:val="00782D48"/>
    <w:rsid w:val="007876D8"/>
    <w:rsid w:val="0079159E"/>
    <w:rsid w:val="0079290F"/>
    <w:rsid w:val="00793C61"/>
    <w:rsid w:val="00797CD9"/>
    <w:rsid w:val="007A3315"/>
    <w:rsid w:val="007A3536"/>
    <w:rsid w:val="007A471C"/>
    <w:rsid w:val="007A560E"/>
    <w:rsid w:val="007A5876"/>
    <w:rsid w:val="007A79E2"/>
    <w:rsid w:val="007A7D34"/>
    <w:rsid w:val="007B0B69"/>
    <w:rsid w:val="007B0FD7"/>
    <w:rsid w:val="007B484B"/>
    <w:rsid w:val="007B58F9"/>
    <w:rsid w:val="007B6C6F"/>
    <w:rsid w:val="007C1ED4"/>
    <w:rsid w:val="007C2446"/>
    <w:rsid w:val="007C2BD3"/>
    <w:rsid w:val="007C30B9"/>
    <w:rsid w:val="007C7E97"/>
    <w:rsid w:val="007D07A1"/>
    <w:rsid w:val="007D295E"/>
    <w:rsid w:val="007D796A"/>
    <w:rsid w:val="007D7A03"/>
    <w:rsid w:val="007D7C77"/>
    <w:rsid w:val="007E0F3C"/>
    <w:rsid w:val="007E26E8"/>
    <w:rsid w:val="007E3380"/>
    <w:rsid w:val="007E3F0D"/>
    <w:rsid w:val="007E6338"/>
    <w:rsid w:val="007F151B"/>
    <w:rsid w:val="007F20D4"/>
    <w:rsid w:val="007F2F56"/>
    <w:rsid w:val="007F3C3E"/>
    <w:rsid w:val="008007F4"/>
    <w:rsid w:val="00805584"/>
    <w:rsid w:val="00807055"/>
    <w:rsid w:val="00812178"/>
    <w:rsid w:val="00813106"/>
    <w:rsid w:val="00816E95"/>
    <w:rsid w:val="00822683"/>
    <w:rsid w:val="00822AC0"/>
    <w:rsid w:val="00824934"/>
    <w:rsid w:val="00825997"/>
    <w:rsid w:val="0083147A"/>
    <w:rsid w:val="0083286A"/>
    <w:rsid w:val="008331EE"/>
    <w:rsid w:val="00833844"/>
    <w:rsid w:val="008352FE"/>
    <w:rsid w:val="008367BB"/>
    <w:rsid w:val="00836929"/>
    <w:rsid w:val="00840D7B"/>
    <w:rsid w:val="008414F2"/>
    <w:rsid w:val="0084307A"/>
    <w:rsid w:val="008446DE"/>
    <w:rsid w:val="00851719"/>
    <w:rsid w:val="00854F5E"/>
    <w:rsid w:val="00855492"/>
    <w:rsid w:val="00862BBA"/>
    <w:rsid w:val="008646F8"/>
    <w:rsid w:val="008666ED"/>
    <w:rsid w:val="00872615"/>
    <w:rsid w:val="00872EFF"/>
    <w:rsid w:val="00875044"/>
    <w:rsid w:val="008756F0"/>
    <w:rsid w:val="00876119"/>
    <w:rsid w:val="008764F1"/>
    <w:rsid w:val="0087784E"/>
    <w:rsid w:val="008827B0"/>
    <w:rsid w:val="00883F49"/>
    <w:rsid w:val="0088708D"/>
    <w:rsid w:val="0089192B"/>
    <w:rsid w:val="00891D1D"/>
    <w:rsid w:val="00891D82"/>
    <w:rsid w:val="0089664A"/>
    <w:rsid w:val="00897129"/>
    <w:rsid w:val="00897158"/>
    <w:rsid w:val="008A09CF"/>
    <w:rsid w:val="008A38CB"/>
    <w:rsid w:val="008A547F"/>
    <w:rsid w:val="008A5FC0"/>
    <w:rsid w:val="008A62F8"/>
    <w:rsid w:val="008A6537"/>
    <w:rsid w:val="008B0A32"/>
    <w:rsid w:val="008B1B31"/>
    <w:rsid w:val="008B366C"/>
    <w:rsid w:val="008C1E32"/>
    <w:rsid w:val="008C4815"/>
    <w:rsid w:val="008D1894"/>
    <w:rsid w:val="008D568A"/>
    <w:rsid w:val="008E0CB4"/>
    <w:rsid w:val="008E2C7F"/>
    <w:rsid w:val="008E2C90"/>
    <w:rsid w:val="008F042B"/>
    <w:rsid w:val="008F4C34"/>
    <w:rsid w:val="008F6198"/>
    <w:rsid w:val="008F79D3"/>
    <w:rsid w:val="00901F25"/>
    <w:rsid w:val="00902EBA"/>
    <w:rsid w:val="00903ADF"/>
    <w:rsid w:val="009135AA"/>
    <w:rsid w:val="009155E2"/>
    <w:rsid w:val="00920287"/>
    <w:rsid w:val="0092038E"/>
    <w:rsid w:val="009209E7"/>
    <w:rsid w:val="009240C9"/>
    <w:rsid w:val="009258C4"/>
    <w:rsid w:val="00925E04"/>
    <w:rsid w:val="00925EB3"/>
    <w:rsid w:val="009265DC"/>
    <w:rsid w:val="00933C2B"/>
    <w:rsid w:val="00933E28"/>
    <w:rsid w:val="00934F43"/>
    <w:rsid w:val="00937421"/>
    <w:rsid w:val="00942EF1"/>
    <w:rsid w:val="00946192"/>
    <w:rsid w:val="009505D7"/>
    <w:rsid w:val="00950C57"/>
    <w:rsid w:val="0095672F"/>
    <w:rsid w:val="00957A47"/>
    <w:rsid w:val="009636BF"/>
    <w:rsid w:val="009643D9"/>
    <w:rsid w:val="00965BA4"/>
    <w:rsid w:val="00966AF5"/>
    <w:rsid w:val="009715DE"/>
    <w:rsid w:val="0097230F"/>
    <w:rsid w:val="00973184"/>
    <w:rsid w:val="00973775"/>
    <w:rsid w:val="0097681E"/>
    <w:rsid w:val="00980F07"/>
    <w:rsid w:val="00981059"/>
    <w:rsid w:val="009851D2"/>
    <w:rsid w:val="00985BA3"/>
    <w:rsid w:val="009860A5"/>
    <w:rsid w:val="00986F9A"/>
    <w:rsid w:val="009875F7"/>
    <w:rsid w:val="009919F4"/>
    <w:rsid w:val="009950DE"/>
    <w:rsid w:val="00995432"/>
    <w:rsid w:val="00995EC8"/>
    <w:rsid w:val="009A17D2"/>
    <w:rsid w:val="009A2883"/>
    <w:rsid w:val="009B01A6"/>
    <w:rsid w:val="009B21F1"/>
    <w:rsid w:val="009B5B03"/>
    <w:rsid w:val="009B5F88"/>
    <w:rsid w:val="009B661B"/>
    <w:rsid w:val="009B7D46"/>
    <w:rsid w:val="009C1ABB"/>
    <w:rsid w:val="009C1FAD"/>
    <w:rsid w:val="009C2D5E"/>
    <w:rsid w:val="009C34CF"/>
    <w:rsid w:val="009C4B2B"/>
    <w:rsid w:val="009C5A24"/>
    <w:rsid w:val="009C6EBF"/>
    <w:rsid w:val="009C737F"/>
    <w:rsid w:val="009D3AB1"/>
    <w:rsid w:val="009D545C"/>
    <w:rsid w:val="009E2BFE"/>
    <w:rsid w:val="009E4813"/>
    <w:rsid w:val="009E52D6"/>
    <w:rsid w:val="009E573D"/>
    <w:rsid w:val="009F7957"/>
    <w:rsid w:val="00A002FF"/>
    <w:rsid w:val="00A005F3"/>
    <w:rsid w:val="00A00D20"/>
    <w:rsid w:val="00A022B6"/>
    <w:rsid w:val="00A06B4D"/>
    <w:rsid w:val="00A118B1"/>
    <w:rsid w:val="00A131B3"/>
    <w:rsid w:val="00A15522"/>
    <w:rsid w:val="00A1658D"/>
    <w:rsid w:val="00A17BEF"/>
    <w:rsid w:val="00A2181A"/>
    <w:rsid w:val="00A221D8"/>
    <w:rsid w:val="00A251F6"/>
    <w:rsid w:val="00A26BC7"/>
    <w:rsid w:val="00A35C02"/>
    <w:rsid w:val="00A4256A"/>
    <w:rsid w:val="00A42C54"/>
    <w:rsid w:val="00A4665A"/>
    <w:rsid w:val="00A5181D"/>
    <w:rsid w:val="00A51B9F"/>
    <w:rsid w:val="00A6016A"/>
    <w:rsid w:val="00A623A7"/>
    <w:rsid w:val="00A649E4"/>
    <w:rsid w:val="00A67BC4"/>
    <w:rsid w:val="00A71F25"/>
    <w:rsid w:val="00A7266E"/>
    <w:rsid w:val="00A72DF8"/>
    <w:rsid w:val="00A83F21"/>
    <w:rsid w:val="00A83F2C"/>
    <w:rsid w:val="00A91A1D"/>
    <w:rsid w:val="00A94FD0"/>
    <w:rsid w:val="00AA03BF"/>
    <w:rsid w:val="00AA054E"/>
    <w:rsid w:val="00AA07D0"/>
    <w:rsid w:val="00AB0267"/>
    <w:rsid w:val="00AB089A"/>
    <w:rsid w:val="00AB1AC1"/>
    <w:rsid w:val="00AB53A6"/>
    <w:rsid w:val="00AB5C70"/>
    <w:rsid w:val="00AB686E"/>
    <w:rsid w:val="00AC029F"/>
    <w:rsid w:val="00AC2F53"/>
    <w:rsid w:val="00AC4DDA"/>
    <w:rsid w:val="00AC7876"/>
    <w:rsid w:val="00AC7960"/>
    <w:rsid w:val="00AD07BC"/>
    <w:rsid w:val="00AD161A"/>
    <w:rsid w:val="00AD375A"/>
    <w:rsid w:val="00AE0338"/>
    <w:rsid w:val="00AE1004"/>
    <w:rsid w:val="00AE1AD3"/>
    <w:rsid w:val="00AE1CFC"/>
    <w:rsid w:val="00AE2D7E"/>
    <w:rsid w:val="00AE470F"/>
    <w:rsid w:val="00AE6ED0"/>
    <w:rsid w:val="00AF1CB6"/>
    <w:rsid w:val="00AF3C20"/>
    <w:rsid w:val="00AF6D32"/>
    <w:rsid w:val="00AF723B"/>
    <w:rsid w:val="00B010B6"/>
    <w:rsid w:val="00B02EF7"/>
    <w:rsid w:val="00B064C9"/>
    <w:rsid w:val="00B11C8E"/>
    <w:rsid w:val="00B13F7B"/>
    <w:rsid w:val="00B14B92"/>
    <w:rsid w:val="00B150DB"/>
    <w:rsid w:val="00B211E2"/>
    <w:rsid w:val="00B22D45"/>
    <w:rsid w:val="00B237E5"/>
    <w:rsid w:val="00B302FD"/>
    <w:rsid w:val="00B32CEF"/>
    <w:rsid w:val="00B36376"/>
    <w:rsid w:val="00B400CE"/>
    <w:rsid w:val="00B40F3B"/>
    <w:rsid w:val="00B41190"/>
    <w:rsid w:val="00B42374"/>
    <w:rsid w:val="00B447D9"/>
    <w:rsid w:val="00B4528B"/>
    <w:rsid w:val="00B51A50"/>
    <w:rsid w:val="00B52233"/>
    <w:rsid w:val="00B54E3B"/>
    <w:rsid w:val="00B554B4"/>
    <w:rsid w:val="00B6424A"/>
    <w:rsid w:val="00B664D4"/>
    <w:rsid w:val="00B67AA0"/>
    <w:rsid w:val="00B7740B"/>
    <w:rsid w:val="00B80242"/>
    <w:rsid w:val="00B82E69"/>
    <w:rsid w:val="00B83F86"/>
    <w:rsid w:val="00B846F4"/>
    <w:rsid w:val="00B85C89"/>
    <w:rsid w:val="00B8661C"/>
    <w:rsid w:val="00B92A91"/>
    <w:rsid w:val="00B94082"/>
    <w:rsid w:val="00BA0FC3"/>
    <w:rsid w:val="00BA3479"/>
    <w:rsid w:val="00BA5678"/>
    <w:rsid w:val="00BA7508"/>
    <w:rsid w:val="00BB0599"/>
    <w:rsid w:val="00BB081B"/>
    <w:rsid w:val="00BB199E"/>
    <w:rsid w:val="00BB2D56"/>
    <w:rsid w:val="00BB3161"/>
    <w:rsid w:val="00BB6889"/>
    <w:rsid w:val="00BB7873"/>
    <w:rsid w:val="00BB7937"/>
    <w:rsid w:val="00BC18B2"/>
    <w:rsid w:val="00BC4CC5"/>
    <w:rsid w:val="00BD21C8"/>
    <w:rsid w:val="00BD3436"/>
    <w:rsid w:val="00BD3728"/>
    <w:rsid w:val="00BD52E2"/>
    <w:rsid w:val="00BD5B07"/>
    <w:rsid w:val="00BD5E02"/>
    <w:rsid w:val="00BD5F66"/>
    <w:rsid w:val="00BD72E8"/>
    <w:rsid w:val="00BE04E2"/>
    <w:rsid w:val="00BE0B02"/>
    <w:rsid w:val="00BE59D9"/>
    <w:rsid w:val="00BF0584"/>
    <w:rsid w:val="00BF2276"/>
    <w:rsid w:val="00BF23CC"/>
    <w:rsid w:val="00BF65B6"/>
    <w:rsid w:val="00C00F01"/>
    <w:rsid w:val="00C01F6C"/>
    <w:rsid w:val="00C050F4"/>
    <w:rsid w:val="00C05242"/>
    <w:rsid w:val="00C062D4"/>
    <w:rsid w:val="00C06CD8"/>
    <w:rsid w:val="00C07209"/>
    <w:rsid w:val="00C11026"/>
    <w:rsid w:val="00C122ED"/>
    <w:rsid w:val="00C21BB9"/>
    <w:rsid w:val="00C221C0"/>
    <w:rsid w:val="00C27B7C"/>
    <w:rsid w:val="00C40FC1"/>
    <w:rsid w:val="00C413E8"/>
    <w:rsid w:val="00C457D4"/>
    <w:rsid w:val="00C47176"/>
    <w:rsid w:val="00C50DCC"/>
    <w:rsid w:val="00C51868"/>
    <w:rsid w:val="00C53A66"/>
    <w:rsid w:val="00C5545B"/>
    <w:rsid w:val="00C56A4A"/>
    <w:rsid w:val="00C62CA0"/>
    <w:rsid w:val="00C62F05"/>
    <w:rsid w:val="00C64EC1"/>
    <w:rsid w:val="00C70C4B"/>
    <w:rsid w:val="00C70F59"/>
    <w:rsid w:val="00C71A12"/>
    <w:rsid w:val="00C7206C"/>
    <w:rsid w:val="00C720BF"/>
    <w:rsid w:val="00C7298E"/>
    <w:rsid w:val="00C73108"/>
    <w:rsid w:val="00C737A3"/>
    <w:rsid w:val="00C746E9"/>
    <w:rsid w:val="00C77958"/>
    <w:rsid w:val="00C817D5"/>
    <w:rsid w:val="00C902E9"/>
    <w:rsid w:val="00C933B5"/>
    <w:rsid w:val="00CA24D9"/>
    <w:rsid w:val="00CA72A8"/>
    <w:rsid w:val="00CB27C8"/>
    <w:rsid w:val="00CB2CFD"/>
    <w:rsid w:val="00CB3C1E"/>
    <w:rsid w:val="00CB47F1"/>
    <w:rsid w:val="00CB49A3"/>
    <w:rsid w:val="00CB5950"/>
    <w:rsid w:val="00CC1629"/>
    <w:rsid w:val="00CC2823"/>
    <w:rsid w:val="00CC37EC"/>
    <w:rsid w:val="00CC5A13"/>
    <w:rsid w:val="00CC5A24"/>
    <w:rsid w:val="00CC5EDF"/>
    <w:rsid w:val="00CC7104"/>
    <w:rsid w:val="00CD0901"/>
    <w:rsid w:val="00CD162C"/>
    <w:rsid w:val="00CD2E77"/>
    <w:rsid w:val="00CD318C"/>
    <w:rsid w:val="00CE27B1"/>
    <w:rsid w:val="00CE470F"/>
    <w:rsid w:val="00CE51EA"/>
    <w:rsid w:val="00CE525C"/>
    <w:rsid w:val="00CE6265"/>
    <w:rsid w:val="00CE7214"/>
    <w:rsid w:val="00CE76D7"/>
    <w:rsid w:val="00CE78C0"/>
    <w:rsid w:val="00CF18D1"/>
    <w:rsid w:val="00D0139D"/>
    <w:rsid w:val="00D02904"/>
    <w:rsid w:val="00D03813"/>
    <w:rsid w:val="00D119AF"/>
    <w:rsid w:val="00D11D4C"/>
    <w:rsid w:val="00D14F81"/>
    <w:rsid w:val="00D213EC"/>
    <w:rsid w:val="00D32860"/>
    <w:rsid w:val="00D33082"/>
    <w:rsid w:val="00D33358"/>
    <w:rsid w:val="00D3539A"/>
    <w:rsid w:val="00D37830"/>
    <w:rsid w:val="00D41FAB"/>
    <w:rsid w:val="00D42633"/>
    <w:rsid w:val="00D46186"/>
    <w:rsid w:val="00D47522"/>
    <w:rsid w:val="00D53189"/>
    <w:rsid w:val="00D54B3C"/>
    <w:rsid w:val="00D61FAB"/>
    <w:rsid w:val="00D6288B"/>
    <w:rsid w:val="00D66A52"/>
    <w:rsid w:val="00D67144"/>
    <w:rsid w:val="00D75BF0"/>
    <w:rsid w:val="00D77D3E"/>
    <w:rsid w:val="00D83880"/>
    <w:rsid w:val="00D863C9"/>
    <w:rsid w:val="00D90804"/>
    <w:rsid w:val="00D91B03"/>
    <w:rsid w:val="00D94189"/>
    <w:rsid w:val="00D9658F"/>
    <w:rsid w:val="00D96A1D"/>
    <w:rsid w:val="00DA07CB"/>
    <w:rsid w:val="00DA48C8"/>
    <w:rsid w:val="00DA4BAF"/>
    <w:rsid w:val="00DA6975"/>
    <w:rsid w:val="00DA6E3F"/>
    <w:rsid w:val="00DA7E3C"/>
    <w:rsid w:val="00DB011F"/>
    <w:rsid w:val="00DB343A"/>
    <w:rsid w:val="00DB436D"/>
    <w:rsid w:val="00DB7964"/>
    <w:rsid w:val="00DB79E3"/>
    <w:rsid w:val="00DC0CED"/>
    <w:rsid w:val="00DC1400"/>
    <w:rsid w:val="00DC1B85"/>
    <w:rsid w:val="00DC3D05"/>
    <w:rsid w:val="00DC51DB"/>
    <w:rsid w:val="00DC6372"/>
    <w:rsid w:val="00DD0DA2"/>
    <w:rsid w:val="00DD1932"/>
    <w:rsid w:val="00DD72DC"/>
    <w:rsid w:val="00DE0653"/>
    <w:rsid w:val="00DE18B9"/>
    <w:rsid w:val="00DE4E6C"/>
    <w:rsid w:val="00DF4504"/>
    <w:rsid w:val="00DF59BF"/>
    <w:rsid w:val="00DF6137"/>
    <w:rsid w:val="00DF6D4E"/>
    <w:rsid w:val="00E00E1B"/>
    <w:rsid w:val="00E0401D"/>
    <w:rsid w:val="00E04674"/>
    <w:rsid w:val="00E11505"/>
    <w:rsid w:val="00E11717"/>
    <w:rsid w:val="00E11B9B"/>
    <w:rsid w:val="00E226AC"/>
    <w:rsid w:val="00E23362"/>
    <w:rsid w:val="00E23B4F"/>
    <w:rsid w:val="00E25930"/>
    <w:rsid w:val="00E30605"/>
    <w:rsid w:val="00E33066"/>
    <w:rsid w:val="00E336ED"/>
    <w:rsid w:val="00E33E56"/>
    <w:rsid w:val="00E34140"/>
    <w:rsid w:val="00E34502"/>
    <w:rsid w:val="00E356D6"/>
    <w:rsid w:val="00E367CB"/>
    <w:rsid w:val="00E41455"/>
    <w:rsid w:val="00E41ADC"/>
    <w:rsid w:val="00E41E70"/>
    <w:rsid w:val="00E424AE"/>
    <w:rsid w:val="00E44420"/>
    <w:rsid w:val="00E45057"/>
    <w:rsid w:val="00E5096D"/>
    <w:rsid w:val="00E52346"/>
    <w:rsid w:val="00E53A24"/>
    <w:rsid w:val="00E53C0C"/>
    <w:rsid w:val="00E5442B"/>
    <w:rsid w:val="00E57AB3"/>
    <w:rsid w:val="00E61D7B"/>
    <w:rsid w:val="00E6262E"/>
    <w:rsid w:val="00E62997"/>
    <w:rsid w:val="00E650DE"/>
    <w:rsid w:val="00E65A98"/>
    <w:rsid w:val="00E70A22"/>
    <w:rsid w:val="00E813E6"/>
    <w:rsid w:val="00E82EAB"/>
    <w:rsid w:val="00E83D37"/>
    <w:rsid w:val="00E84448"/>
    <w:rsid w:val="00E86F24"/>
    <w:rsid w:val="00E9096F"/>
    <w:rsid w:val="00E929C9"/>
    <w:rsid w:val="00E961B5"/>
    <w:rsid w:val="00E962B9"/>
    <w:rsid w:val="00E96968"/>
    <w:rsid w:val="00E96FA9"/>
    <w:rsid w:val="00EA2C21"/>
    <w:rsid w:val="00EA3F88"/>
    <w:rsid w:val="00EA5D9B"/>
    <w:rsid w:val="00EA6A45"/>
    <w:rsid w:val="00EA7057"/>
    <w:rsid w:val="00EB1DA9"/>
    <w:rsid w:val="00EB22F3"/>
    <w:rsid w:val="00EB254D"/>
    <w:rsid w:val="00EB3A9C"/>
    <w:rsid w:val="00EB512C"/>
    <w:rsid w:val="00EC1AF6"/>
    <w:rsid w:val="00ED050E"/>
    <w:rsid w:val="00ED2BD4"/>
    <w:rsid w:val="00ED36FE"/>
    <w:rsid w:val="00ED5EA4"/>
    <w:rsid w:val="00ED79E0"/>
    <w:rsid w:val="00EE01A0"/>
    <w:rsid w:val="00EE065B"/>
    <w:rsid w:val="00EE244F"/>
    <w:rsid w:val="00EE6BA5"/>
    <w:rsid w:val="00EF479B"/>
    <w:rsid w:val="00EF5356"/>
    <w:rsid w:val="00EF5AC4"/>
    <w:rsid w:val="00EF6E27"/>
    <w:rsid w:val="00F03A06"/>
    <w:rsid w:val="00F1386D"/>
    <w:rsid w:val="00F15958"/>
    <w:rsid w:val="00F26017"/>
    <w:rsid w:val="00F26339"/>
    <w:rsid w:val="00F2767F"/>
    <w:rsid w:val="00F334B8"/>
    <w:rsid w:val="00F34EAB"/>
    <w:rsid w:val="00F3586E"/>
    <w:rsid w:val="00F4531F"/>
    <w:rsid w:val="00F50A46"/>
    <w:rsid w:val="00F51BD9"/>
    <w:rsid w:val="00F60F3B"/>
    <w:rsid w:val="00F62ACB"/>
    <w:rsid w:val="00F72A95"/>
    <w:rsid w:val="00F74145"/>
    <w:rsid w:val="00F757F3"/>
    <w:rsid w:val="00F76B83"/>
    <w:rsid w:val="00F84AC2"/>
    <w:rsid w:val="00F927E5"/>
    <w:rsid w:val="00F95751"/>
    <w:rsid w:val="00F96D73"/>
    <w:rsid w:val="00FA13D0"/>
    <w:rsid w:val="00FA1AE5"/>
    <w:rsid w:val="00FA1BA3"/>
    <w:rsid w:val="00FA65F2"/>
    <w:rsid w:val="00FB0166"/>
    <w:rsid w:val="00FB4C56"/>
    <w:rsid w:val="00FB6260"/>
    <w:rsid w:val="00FB6550"/>
    <w:rsid w:val="00FB6665"/>
    <w:rsid w:val="00FC580F"/>
    <w:rsid w:val="00FD1B9B"/>
    <w:rsid w:val="00FD5C50"/>
    <w:rsid w:val="00FD671F"/>
    <w:rsid w:val="00FE0905"/>
    <w:rsid w:val="00FE1987"/>
    <w:rsid w:val="00FE3C52"/>
    <w:rsid w:val="00FE4F22"/>
    <w:rsid w:val="00FE530C"/>
    <w:rsid w:val="00FE5877"/>
    <w:rsid w:val="00FF08F6"/>
    <w:rsid w:val="00FF2346"/>
    <w:rsid w:val="00FF76BC"/>
    <w:rsid w:val="223FB116"/>
    <w:rsid w:val="2ABD5240"/>
    <w:rsid w:val="32F11808"/>
    <w:rsid w:val="51CFE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F44F3"/>
  <w15:chartTrackingRefBased/>
  <w15:docId w15:val="{62718E71-6EF6-452D-9D6E-1F20B98D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83147A"/>
    <w:pPr>
      <w:tabs>
        <w:tab w:val="left" w:pos="567"/>
      </w:tabs>
      <w:spacing w:after="290" w:line="290" w:lineRule="atLeast"/>
    </w:pPr>
    <w:rPr>
      <w:rFonts w:asciiTheme="majorHAnsi" w:hAnsiTheme="majorHAnsi" w:cstheme="majorHAnsi"/>
    </w:rPr>
  </w:style>
  <w:style w:type="character" w:customStyle="1" w:styleId="BrdtextChar">
    <w:name w:val="Brödtext Char"/>
    <w:basedOn w:val="Standardstycketeckensnitt"/>
    <w:link w:val="Brdtext"/>
    <w:rsid w:val="0083147A"/>
    <w:rPr>
      <w:rFonts w:asciiTheme="majorHAnsi" w:hAnsiTheme="majorHAnsi" w:cstheme="majorHAnsi"/>
    </w:rPr>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customStyle="1" w:styleId="Default">
    <w:name w:val="Default"/>
    <w:rsid w:val="00E52346"/>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470408"/>
    <w:rPr>
      <w:sz w:val="16"/>
      <w:szCs w:val="16"/>
    </w:rPr>
  </w:style>
  <w:style w:type="paragraph" w:styleId="Kommentarer">
    <w:name w:val="annotation text"/>
    <w:basedOn w:val="Normal"/>
    <w:link w:val="KommentarerChar"/>
    <w:uiPriority w:val="99"/>
    <w:unhideWhenUsed/>
    <w:rsid w:val="00470408"/>
    <w:rPr>
      <w:sz w:val="20"/>
      <w:szCs w:val="20"/>
    </w:rPr>
  </w:style>
  <w:style w:type="character" w:customStyle="1" w:styleId="KommentarerChar">
    <w:name w:val="Kommentarer Char"/>
    <w:basedOn w:val="Standardstycketeckensnitt"/>
    <w:link w:val="Kommentarer"/>
    <w:uiPriority w:val="99"/>
    <w:rsid w:val="00470408"/>
    <w:rPr>
      <w:sz w:val="20"/>
      <w:szCs w:val="20"/>
    </w:rPr>
  </w:style>
  <w:style w:type="paragraph" w:styleId="Kommentarsmne">
    <w:name w:val="annotation subject"/>
    <w:basedOn w:val="Kommentarer"/>
    <w:next w:val="Kommentarer"/>
    <w:link w:val="KommentarsmneChar"/>
    <w:uiPriority w:val="99"/>
    <w:semiHidden/>
    <w:unhideWhenUsed/>
    <w:rsid w:val="00470408"/>
    <w:rPr>
      <w:b/>
      <w:bCs/>
    </w:rPr>
  </w:style>
  <w:style w:type="character" w:customStyle="1" w:styleId="KommentarsmneChar">
    <w:name w:val="Kommentarsämne Char"/>
    <w:basedOn w:val="KommentarerChar"/>
    <w:link w:val="Kommentarsmne"/>
    <w:uiPriority w:val="99"/>
    <w:semiHidden/>
    <w:rsid w:val="00470408"/>
    <w:rPr>
      <w:b/>
      <w:bCs/>
      <w:sz w:val="20"/>
      <w:szCs w:val="20"/>
    </w:rPr>
  </w:style>
  <w:style w:type="table" w:styleId="Oformateradtabell3">
    <w:name w:val="Plain Table 3"/>
    <w:basedOn w:val="Normaltabell"/>
    <w:uiPriority w:val="43"/>
    <w:rsid w:val="008314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C70F59"/>
    <w:pPr>
      <w:spacing w:after="0" w:line="240" w:lineRule="auto"/>
    </w:pPr>
  </w:style>
  <w:style w:type="paragraph" w:styleId="Liststycke">
    <w:name w:val="List Paragraph"/>
    <w:basedOn w:val="Normal"/>
    <w:uiPriority w:val="34"/>
    <w:qFormat/>
    <w:rsid w:val="00FD5C50"/>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2641">
      <w:bodyDiv w:val="1"/>
      <w:marLeft w:val="0"/>
      <w:marRight w:val="0"/>
      <w:marTop w:val="0"/>
      <w:marBottom w:val="0"/>
      <w:divBdr>
        <w:top w:val="none" w:sz="0" w:space="0" w:color="auto"/>
        <w:left w:val="none" w:sz="0" w:space="0" w:color="auto"/>
        <w:bottom w:val="none" w:sz="0" w:space="0" w:color="auto"/>
        <w:right w:val="none" w:sz="0" w:space="0" w:color="auto"/>
      </w:divBdr>
    </w:div>
    <w:div w:id="778136507">
      <w:bodyDiv w:val="1"/>
      <w:marLeft w:val="0"/>
      <w:marRight w:val="0"/>
      <w:marTop w:val="0"/>
      <w:marBottom w:val="0"/>
      <w:divBdr>
        <w:top w:val="none" w:sz="0" w:space="0" w:color="auto"/>
        <w:left w:val="none" w:sz="0" w:space="0" w:color="auto"/>
        <w:bottom w:val="none" w:sz="0" w:space="0" w:color="auto"/>
        <w:right w:val="none" w:sz="0" w:space="0" w:color="auto"/>
      </w:divBdr>
    </w:div>
    <w:div w:id="1943295073">
      <w:bodyDiv w:val="1"/>
      <w:marLeft w:val="0"/>
      <w:marRight w:val="0"/>
      <w:marTop w:val="0"/>
      <w:marBottom w:val="0"/>
      <w:divBdr>
        <w:top w:val="none" w:sz="0" w:space="0" w:color="auto"/>
        <w:left w:val="none" w:sz="0" w:space="0" w:color="auto"/>
        <w:bottom w:val="none" w:sz="0" w:space="0" w:color="auto"/>
        <w:right w:val="none" w:sz="0" w:space="0" w:color="auto"/>
      </w:divBdr>
    </w:div>
    <w:div w:id="19828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100dcc-de2d-40c6-9c06-e146ae30916c">
      <UserInfo>
        <DisplayName>Tommy Wahlman</DisplayName>
        <AccountId>1212</AccountId>
        <AccountType/>
      </UserInfo>
      <UserInfo>
        <DisplayName>Göran Smedbäck</DisplayName>
        <AccountId>4261</AccountId>
        <AccountType/>
      </UserInfo>
      <UserInfo>
        <DisplayName>Liine Jaanivald</DisplayName>
        <AccountId>4414</AccountId>
        <AccountType/>
      </UserInfo>
      <UserInfo>
        <DisplayName>Titti Norlin</DisplayName>
        <AccountId>2457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1" ma:contentTypeDescription="Skapa ett nytt dokument." ma:contentTypeScope="" ma:versionID="24769986e70713fd3d135a01e35e87fa">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def61a302717cbdf51d0dc14cbb81f58"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13EA-E6EA-4C2C-9FD4-8B83702489B3}">
  <ds:schemaRefs>
    <ds:schemaRef ds:uri="17a4b6e0-060f-4498-abdb-fefbd3296105"/>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ab100dcc-de2d-40c6-9c06-e146ae30916c"/>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4332963-75D2-4645-8788-55848973C614}">
  <ds:schemaRefs>
    <ds:schemaRef ds:uri="http://schemas.microsoft.com/sharepoint/v3/contenttype/forms"/>
  </ds:schemaRefs>
</ds:datastoreItem>
</file>

<file path=customXml/itemProps3.xml><?xml version="1.0" encoding="utf-8"?>
<ds:datastoreItem xmlns:ds="http://schemas.openxmlformats.org/officeDocument/2006/customXml" ds:itemID="{788E94BB-4BEC-4C13-A4C8-4BE03F19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93046-0834-4C77-B4B3-B54A2F58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2841</Words>
  <Characters>15060</Characters>
  <Application>Microsoft Office Word</Application>
  <DocSecurity>0</DocSecurity>
  <Lines>125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UTKAST - Föreskrifter och allmänna råd om riskanalys och säkerhetsåtgärder (NIS)</vt: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 Föreskrifter och allmänna råd om riskanalys och säkerhetsåtgärder (NIS)</dc:title>
  <dc:subject/>
  <dc:creator>Stefan Jansson</dc:creator>
  <cp:keywords/>
  <dc:description/>
  <cp:lastModifiedBy>Stefan Jansson</cp:lastModifiedBy>
  <cp:revision>33</cp:revision>
  <cp:lastPrinted>2020-05-18T12:31:00Z</cp:lastPrinted>
  <dcterms:created xsi:type="dcterms:W3CDTF">2020-06-04T13:06:00Z</dcterms:created>
  <dcterms:modified xsi:type="dcterms:W3CDTF">2020-06-26T13:47:00Z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ies>
</file>