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E2" w:rsidRPr="007772A9" w:rsidRDefault="007772A9" w:rsidP="007B232C">
      <w:pPr>
        <w:rPr>
          <w:b/>
        </w:rPr>
      </w:pPr>
      <w:bookmarkStart w:id="0" w:name="_GoBack"/>
      <w:bookmarkEnd w:id="0"/>
      <w:r w:rsidRPr="007772A9">
        <w:rPr>
          <w:b/>
          <w:noProof/>
          <w:lang w:val="sv-SE" w:eastAsia="sv-SE"/>
        </w:rPr>
        <w:drawing>
          <wp:anchor distT="0" distB="0" distL="114300" distR="114300" simplePos="0" relativeHeight="251658240" behindDoc="0" locked="0" layoutInCell="1" allowOverlap="1" wp14:anchorId="20AEE6F8" wp14:editId="70DF7FB9">
            <wp:simplePos x="0" y="0"/>
            <wp:positionH relativeFrom="column">
              <wp:posOffset>-915670</wp:posOffset>
            </wp:positionH>
            <wp:positionV relativeFrom="paragraph">
              <wp:posOffset>-920750</wp:posOffset>
            </wp:positionV>
            <wp:extent cx="7564755" cy="10689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068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2A9" w:rsidRDefault="007772A9">
      <w:pPr>
        <w:spacing w:after="0"/>
        <w:jc w:val="left"/>
      </w:pPr>
      <w:r>
        <w:br w:type="page"/>
      </w:r>
    </w:p>
    <w:p w:rsidR="004702E2" w:rsidRPr="0046612F" w:rsidRDefault="004702E2" w:rsidP="004702E2">
      <w:pPr>
        <w:spacing w:after="0"/>
        <w:jc w:val="left"/>
        <w:rPr>
          <w:noProof/>
        </w:rPr>
      </w:pPr>
      <w:r>
        <w:rPr>
          <w:noProof/>
        </w:rPr>
        <w:lastRenderedPageBreak/>
        <w:t xml:space="preserve">This document reflects the Commission's opinion and does not provide a legally binding interpretation. A legally binding interpretation interpretation can only be provided by the European Court of Law. </w:t>
      </w:r>
      <w:r w:rsidRPr="0046612F">
        <w:rPr>
          <w:noProof/>
        </w:rPr>
        <w:t xml:space="preserve">The commission nor any person working on the Commission's behalf may be held responsible for the use which may be made of the information contained therein. </w:t>
      </w:r>
    </w:p>
    <w:p w:rsidR="00367F91" w:rsidRDefault="00367F91" w:rsidP="007B232C"/>
    <w:p w:rsidR="00D42E08" w:rsidRDefault="00D42E08" w:rsidP="007B232C"/>
    <w:p w:rsidR="00D42E08" w:rsidRPr="006B18A3" w:rsidRDefault="00D42E08" w:rsidP="007B232C"/>
    <w:sdt>
      <w:sdtPr>
        <w:rPr>
          <w:rFonts w:asciiTheme="minorHAnsi" w:eastAsiaTheme="minorEastAsia" w:hAnsiTheme="minorHAnsi" w:cs="Times New Roman"/>
          <w:b w:val="0"/>
          <w:bCs w:val="0"/>
          <w:kern w:val="0"/>
          <w:sz w:val="24"/>
          <w:szCs w:val="24"/>
        </w:rPr>
        <w:id w:val="867803302"/>
        <w:docPartObj>
          <w:docPartGallery w:val="Table of Contents"/>
          <w:docPartUnique/>
        </w:docPartObj>
      </w:sdtPr>
      <w:sdtEndPr/>
      <w:sdtContent>
        <w:p w:rsidR="007B232C" w:rsidRPr="006B18A3" w:rsidRDefault="007B232C" w:rsidP="00D42E08">
          <w:pPr>
            <w:pStyle w:val="Innehllsfrteckningsrubrik"/>
            <w:numPr>
              <w:ilvl w:val="0"/>
              <w:numId w:val="0"/>
            </w:numPr>
            <w:ind w:left="360" w:hanging="360"/>
            <w:jc w:val="center"/>
          </w:pPr>
          <w:r w:rsidRPr="006B18A3">
            <w:t>Table of Contents</w:t>
          </w:r>
        </w:p>
        <w:p w:rsidR="00FC50D7" w:rsidRDefault="007B232C">
          <w:pPr>
            <w:pStyle w:val="Innehll1"/>
            <w:tabs>
              <w:tab w:val="left" w:pos="480"/>
              <w:tab w:val="right" w:leader="dot" w:pos="9062"/>
            </w:tabs>
            <w:rPr>
              <w:rFonts w:cstheme="minorBidi"/>
              <w:noProof/>
              <w:sz w:val="22"/>
              <w:szCs w:val="22"/>
              <w:lang w:eastAsia="en-GB"/>
            </w:rPr>
          </w:pPr>
          <w:r w:rsidRPr="006B18A3">
            <w:fldChar w:fldCharType="begin"/>
          </w:r>
          <w:r w:rsidRPr="006B18A3">
            <w:instrText xml:space="preserve"> TOC \o "1-3" \h \z \u </w:instrText>
          </w:r>
          <w:r w:rsidRPr="006B18A3">
            <w:fldChar w:fldCharType="separate"/>
          </w:r>
          <w:hyperlink w:anchor="_Toc479325685" w:history="1">
            <w:r w:rsidR="00FC50D7" w:rsidRPr="001D4729">
              <w:rPr>
                <w:rStyle w:val="Hyperlnk"/>
                <w:noProof/>
              </w:rPr>
              <w:t>1.</w:t>
            </w:r>
            <w:r w:rsidR="00FC50D7">
              <w:rPr>
                <w:rFonts w:cstheme="minorBidi"/>
                <w:noProof/>
                <w:sz w:val="22"/>
                <w:szCs w:val="22"/>
                <w:lang w:eastAsia="en-GB"/>
              </w:rPr>
              <w:tab/>
            </w:r>
            <w:r w:rsidR="00FC50D7" w:rsidRPr="001D4729">
              <w:rPr>
                <w:rStyle w:val="Hyperlnk"/>
                <w:noProof/>
              </w:rPr>
              <w:t>Purpose of the guidelines and disclaimer</w:t>
            </w:r>
            <w:r w:rsidR="00FC50D7">
              <w:rPr>
                <w:noProof/>
                <w:webHidden/>
              </w:rPr>
              <w:tab/>
            </w:r>
            <w:r w:rsidR="00FC50D7">
              <w:rPr>
                <w:noProof/>
                <w:webHidden/>
              </w:rPr>
              <w:fldChar w:fldCharType="begin"/>
            </w:r>
            <w:r w:rsidR="00FC50D7">
              <w:rPr>
                <w:noProof/>
                <w:webHidden/>
              </w:rPr>
              <w:instrText xml:space="preserve"> PAGEREF _Toc479325685 \h </w:instrText>
            </w:r>
            <w:r w:rsidR="00FC50D7">
              <w:rPr>
                <w:noProof/>
                <w:webHidden/>
              </w:rPr>
            </w:r>
            <w:r w:rsidR="00FC50D7">
              <w:rPr>
                <w:noProof/>
                <w:webHidden/>
              </w:rPr>
              <w:fldChar w:fldCharType="separate"/>
            </w:r>
            <w:r w:rsidR="00FC50D7">
              <w:rPr>
                <w:noProof/>
                <w:webHidden/>
              </w:rPr>
              <w:t>3</w:t>
            </w:r>
            <w:r w:rsidR="00FC50D7">
              <w:rPr>
                <w:noProof/>
                <w:webHidden/>
              </w:rPr>
              <w:fldChar w:fldCharType="end"/>
            </w:r>
          </w:hyperlink>
        </w:p>
        <w:p w:rsidR="00FC50D7" w:rsidRDefault="004D3DB6">
          <w:pPr>
            <w:pStyle w:val="Innehll1"/>
            <w:tabs>
              <w:tab w:val="left" w:pos="660"/>
              <w:tab w:val="right" w:leader="dot" w:pos="9062"/>
            </w:tabs>
            <w:rPr>
              <w:rFonts w:cstheme="minorBidi"/>
              <w:noProof/>
              <w:sz w:val="22"/>
              <w:szCs w:val="22"/>
              <w:lang w:eastAsia="en-GB"/>
            </w:rPr>
          </w:pPr>
          <w:hyperlink w:anchor="_Toc479325686" w:history="1">
            <w:r w:rsidR="00FC50D7" w:rsidRPr="001D4729">
              <w:rPr>
                <w:rStyle w:val="Hyperlnk"/>
                <w:i/>
                <w:noProof/>
              </w:rPr>
              <w:t>1.1.</w:t>
            </w:r>
            <w:r w:rsidR="00FC50D7">
              <w:rPr>
                <w:rFonts w:cstheme="minorBidi"/>
                <w:noProof/>
                <w:sz w:val="22"/>
                <w:szCs w:val="22"/>
                <w:lang w:eastAsia="en-GB"/>
              </w:rPr>
              <w:tab/>
            </w:r>
            <w:r w:rsidR="00FC50D7" w:rsidRPr="001D4729">
              <w:rPr>
                <w:rStyle w:val="Hyperlnk"/>
                <w:i/>
                <w:noProof/>
              </w:rPr>
              <w:t>The Regulations</w:t>
            </w:r>
            <w:r w:rsidR="00FC50D7">
              <w:rPr>
                <w:noProof/>
                <w:webHidden/>
              </w:rPr>
              <w:tab/>
            </w:r>
            <w:r w:rsidR="00FC50D7">
              <w:rPr>
                <w:noProof/>
                <w:webHidden/>
              </w:rPr>
              <w:fldChar w:fldCharType="begin"/>
            </w:r>
            <w:r w:rsidR="00FC50D7">
              <w:rPr>
                <w:noProof/>
                <w:webHidden/>
              </w:rPr>
              <w:instrText xml:space="preserve"> PAGEREF _Toc479325686 \h </w:instrText>
            </w:r>
            <w:r w:rsidR="00FC50D7">
              <w:rPr>
                <w:noProof/>
                <w:webHidden/>
              </w:rPr>
            </w:r>
            <w:r w:rsidR="00FC50D7">
              <w:rPr>
                <w:noProof/>
                <w:webHidden/>
              </w:rPr>
              <w:fldChar w:fldCharType="separate"/>
            </w:r>
            <w:r w:rsidR="00FC50D7">
              <w:rPr>
                <w:noProof/>
                <w:webHidden/>
              </w:rPr>
              <w:t>3</w:t>
            </w:r>
            <w:r w:rsidR="00FC50D7">
              <w:rPr>
                <w:noProof/>
                <w:webHidden/>
              </w:rPr>
              <w:fldChar w:fldCharType="end"/>
            </w:r>
          </w:hyperlink>
        </w:p>
        <w:p w:rsidR="00FC50D7" w:rsidRDefault="004D3DB6">
          <w:pPr>
            <w:pStyle w:val="Innehll1"/>
            <w:tabs>
              <w:tab w:val="left" w:pos="480"/>
              <w:tab w:val="right" w:leader="dot" w:pos="9062"/>
            </w:tabs>
            <w:rPr>
              <w:rFonts w:cstheme="minorBidi"/>
              <w:noProof/>
              <w:sz w:val="22"/>
              <w:szCs w:val="22"/>
              <w:lang w:eastAsia="en-GB"/>
            </w:rPr>
          </w:pPr>
          <w:hyperlink w:anchor="_Toc479325687" w:history="1">
            <w:r w:rsidR="00FC50D7" w:rsidRPr="001D4729">
              <w:rPr>
                <w:rStyle w:val="Hyperlnk"/>
                <w:noProof/>
              </w:rPr>
              <w:t>2.</w:t>
            </w:r>
            <w:r w:rsidR="00FC50D7">
              <w:rPr>
                <w:rFonts w:cstheme="minorBidi"/>
                <w:noProof/>
                <w:sz w:val="22"/>
                <w:szCs w:val="22"/>
                <w:lang w:eastAsia="en-GB"/>
              </w:rPr>
              <w:tab/>
            </w:r>
            <w:r w:rsidR="00FC50D7" w:rsidRPr="001D4729">
              <w:rPr>
                <w:rStyle w:val="Hyperlnk"/>
                <w:noProof/>
              </w:rPr>
              <w:t>Scope</w:t>
            </w:r>
            <w:r w:rsidR="00FC50D7">
              <w:rPr>
                <w:noProof/>
                <w:webHidden/>
              </w:rPr>
              <w:tab/>
            </w:r>
            <w:r w:rsidR="00FC50D7">
              <w:rPr>
                <w:noProof/>
                <w:webHidden/>
              </w:rPr>
              <w:fldChar w:fldCharType="begin"/>
            </w:r>
            <w:r w:rsidR="00FC50D7">
              <w:rPr>
                <w:noProof/>
                <w:webHidden/>
              </w:rPr>
              <w:instrText xml:space="preserve"> PAGEREF _Toc479325687 \h </w:instrText>
            </w:r>
            <w:r w:rsidR="00FC50D7">
              <w:rPr>
                <w:noProof/>
                <w:webHidden/>
              </w:rPr>
            </w:r>
            <w:r w:rsidR="00FC50D7">
              <w:rPr>
                <w:noProof/>
                <w:webHidden/>
              </w:rPr>
              <w:fldChar w:fldCharType="separate"/>
            </w:r>
            <w:r w:rsidR="00FC50D7">
              <w:rPr>
                <w:noProof/>
                <w:webHidden/>
              </w:rPr>
              <w:t>3</w:t>
            </w:r>
            <w:r w:rsidR="00FC50D7">
              <w:rPr>
                <w:noProof/>
                <w:webHidden/>
              </w:rPr>
              <w:fldChar w:fldCharType="end"/>
            </w:r>
          </w:hyperlink>
        </w:p>
        <w:p w:rsidR="00FC50D7" w:rsidRDefault="004D3DB6">
          <w:pPr>
            <w:pStyle w:val="Innehll1"/>
            <w:tabs>
              <w:tab w:val="left" w:pos="480"/>
              <w:tab w:val="right" w:leader="dot" w:pos="9062"/>
            </w:tabs>
            <w:rPr>
              <w:rFonts w:cstheme="minorBidi"/>
              <w:noProof/>
              <w:sz w:val="22"/>
              <w:szCs w:val="22"/>
              <w:lang w:eastAsia="en-GB"/>
            </w:rPr>
          </w:pPr>
          <w:hyperlink w:anchor="_Toc479325688" w:history="1">
            <w:r w:rsidR="00FC50D7" w:rsidRPr="001D4729">
              <w:rPr>
                <w:rStyle w:val="Hyperlnk"/>
                <w:noProof/>
              </w:rPr>
              <w:t>3.</w:t>
            </w:r>
            <w:r w:rsidR="00FC50D7">
              <w:rPr>
                <w:rFonts w:cstheme="minorBidi"/>
                <w:noProof/>
                <w:sz w:val="22"/>
                <w:szCs w:val="22"/>
                <w:lang w:eastAsia="en-GB"/>
              </w:rPr>
              <w:tab/>
            </w:r>
            <w:r w:rsidR="00FC50D7" w:rsidRPr="001D4729">
              <w:rPr>
                <w:rStyle w:val="Hyperlnk"/>
                <w:noProof/>
              </w:rPr>
              <w:t>Product environmental impacts</w:t>
            </w:r>
            <w:r w:rsidR="00FC50D7">
              <w:rPr>
                <w:noProof/>
                <w:webHidden/>
              </w:rPr>
              <w:tab/>
            </w:r>
            <w:r w:rsidR="00FC50D7">
              <w:rPr>
                <w:noProof/>
                <w:webHidden/>
              </w:rPr>
              <w:fldChar w:fldCharType="begin"/>
            </w:r>
            <w:r w:rsidR="00FC50D7">
              <w:rPr>
                <w:noProof/>
                <w:webHidden/>
              </w:rPr>
              <w:instrText xml:space="preserve"> PAGEREF _Toc479325688 \h </w:instrText>
            </w:r>
            <w:r w:rsidR="00FC50D7">
              <w:rPr>
                <w:noProof/>
                <w:webHidden/>
              </w:rPr>
            </w:r>
            <w:r w:rsidR="00FC50D7">
              <w:rPr>
                <w:noProof/>
                <w:webHidden/>
              </w:rPr>
              <w:fldChar w:fldCharType="separate"/>
            </w:r>
            <w:r w:rsidR="00FC50D7">
              <w:rPr>
                <w:noProof/>
                <w:webHidden/>
              </w:rPr>
              <w:t>4</w:t>
            </w:r>
            <w:r w:rsidR="00FC50D7">
              <w:rPr>
                <w:noProof/>
                <w:webHidden/>
              </w:rPr>
              <w:fldChar w:fldCharType="end"/>
            </w:r>
          </w:hyperlink>
        </w:p>
        <w:p w:rsidR="00FC50D7" w:rsidRDefault="004D3DB6">
          <w:pPr>
            <w:pStyle w:val="Innehll1"/>
            <w:tabs>
              <w:tab w:val="left" w:pos="480"/>
              <w:tab w:val="right" w:leader="dot" w:pos="9062"/>
            </w:tabs>
            <w:rPr>
              <w:rFonts w:cstheme="minorBidi"/>
              <w:noProof/>
              <w:sz w:val="22"/>
              <w:szCs w:val="22"/>
              <w:lang w:eastAsia="en-GB"/>
            </w:rPr>
          </w:pPr>
          <w:hyperlink w:anchor="_Toc479325689" w:history="1">
            <w:r w:rsidR="00FC50D7" w:rsidRPr="001D4729">
              <w:rPr>
                <w:rStyle w:val="Hyperlnk"/>
                <w:noProof/>
              </w:rPr>
              <w:t>4.</w:t>
            </w:r>
            <w:r w:rsidR="00FC50D7">
              <w:rPr>
                <w:rFonts w:cstheme="minorBidi"/>
                <w:noProof/>
                <w:sz w:val="22"/>
                <w:szCs w:val="22"/>
                <w:lang w:eastAsia="en-GB"/>
              </w:rPr>
              <w:tab/>
            </w:r>
            <w:r w:rsidR="00FC50D7" w:rsidRPr="001D4729">
              <w:rPr>
                <w:rStyle w:val="Hyperlnk"/>
                <w:noProof/>
              </w:rPr>
              <w:t>State of play of legislation</w:t>
            </w:r>
            <w:r w:rsidR="00FC50D7">
              <w:rPr>
                <w:noProof/>
                <w:webHidden/>
              </w:rPr>
              <w:tab/>
            </w:r>
            <w:r w:rsidR="00FC50D7">
              <w:rPr>
                <w:noProof/>
                <w:webHidden/>
              </w:rPr>
              <w:fldChar w:fldCharType="begin"/>
            </w:r>
            <w:r w:rsidR="00FC50D7">
              <w:rPr>
                <w:noProof/>
                <w:webHidden/>
              </w:rPr>
              <w:instrText xml:space="preserve"> PAGEREF _Toc479325689 \h </w:instrText>
            </w:r>
            <w:r w:rsidR="00FC50D7">
              <w:rPr>
                <w:noProof/>
                <w:webHidden/>
              </w:rPr>
            </w:r>
            <w:r w:rsidR="00FC50D7">
              <w:rPr>
                <w:noProof/>
                <w:webHidden/>
              </w:rPr>
              <w:fldChar w:fldCharType="separate"/>
            </w:r>
            <w:r w:rsidR="00FC50D7">
              <w:rPr>
                <w:noProof/>
                <w:webHidden/>
              </w:rPr>
              <w:t>4</w:t>
            </w:r>
            <w:r w:rsidR="00FC50D7">
              <w:rPr>
                <w:noProof/>
                <w:webHidden/>
              </w:rPr>
              <w:fldChar w:fldCharType="end"/>
            </w:r>
          </w:hyperlink>
        </w:p>
        <w:p w:rsidR="00FC50D7" w:rsidRDefault="004D3DB6">
          <w:pPr>
            <w:pStyle w:val="Innehll1"/>
            <w:tabs>
              <w:tab w:val="left" w:pos="660"/>
              <w:tab w:val="right" w:leader="dot" w:pos="9062"/>
            </w:tabs>
            <w:rPr>
              <w:rFonts w:cstheme="minorBidi"/>
              <w:noProof/>
              <w:sz w:val="22"/>
              <w:szCs w:val="22"/>
              <w:lang w:eastAsia="en-GB"/>
            </w:rPr>
          </w:pPr>
          <w:hyperlink w:anchor="_Toc479325693" w:history="1">
            <w:r w:rsidR="00FC50D7" w:rsidRPr="001D4729">
              <w:rPr>
                <w:rStyle w:val="Hyperlnk"/>
                <w:i/>
                <w:noProof/>
              </w:rPr>
              <w:t>4.1.</w:t>
            </w:r>
            <w:r w:rsidR="00FC50D7">
              <w:rPr>
                <w:rFonts w:cstheme="minorBidi"/>
                <w:noProof/>
                <w:sz w:val="22"/>
                <w:szCs w:val="22"/>
                <w:lang w:eastAsia="en-GB"/>
              </w:rPr>
              <w:tab/>
            </w:r>
            <w:r w:rsidR="00FC50D7" w:rsidRPr="001D4729">
              <w:rPr>
                <w:rStyle w:val="Hyperlnk"/>
                <w:i/>
                <w:noProof/>
              </w:rPr>
              <w:t>History of the product legislations to date</w:t>
            </w:r>
            <w:r w:rsidR="00FC50D7">
              <w:rPr>
                <w:noProof/>
                <w:webHidden/>
              </w:rPr>
              <w:tab/>
            </w:r>
            <w:r w:rsidR="00FC50D7">
              <w:rPr>
                <w:noProof/>
                <w:webHidden/>
              </w:rPr>
              <w:fldChar w:fldCharType="begin"/>
            </w:r>
            <w:r w:rsidR="00FC50D7">
              <w:rPr>
                <w:noProof/>
                <w:webHidden/>
              </w:rPr>
              <w:instrText xml:space="preserve"> PAGEREF _Toc479325693 \h </w:instrText>
            </w:r>
            <w:r w:rsidR="00FC50D7">
              <w:rPr>
                <w:noProof/>
                <w:webHidden/>
              </w:rPr>
            </w:r>
            <w:r w:rsidR="00FC50D7">
              <w:rPr>
                <w:noProof/>
                <w:webHidden/>
              </w:rPr>
              <w:fldChar w:fldCharType="separate"/>
            </w:r>
            <w:r w:rsidR="00FC50D7">
              <w:rPr>
                <w:noProof/>
                <w:webHidden/>
              </w:rPr>
              <w:t>4</w:t>
            </w:r>
            <w:r w:rsidR="00FC50D7">
              <w:rPr>
                <w:noProof/>
                <w:webHidden/>
              </w:rPr>
              <w:fldChar w:fldCharType="end"/>
            </w:r>
          </w:hyperlink>
        </w:p>
        <w:p w:rsidR="00FC50D7" w:rsidRDefault="004D3DB6">
          <w:pPr>
            <w:pStyle w:val="Innehll1"/>
            <w:tabs>
              <w:tab w:val="left" w:pos="660"/>
              <w:tab w:val="right" w:leader="dot" w:pos="9062"/>
            </w:tabs>
            <w:rPr>
              <w:rFonts w:cstheme="minorBidi"/>
              <w:noProof/>
              <w:sz w:val="22"/>
              <w:szCs w:val="22"/>
              <w:lang w:eastAsia="en-GB"/>
            </w:rPr>
          </w:pPr>
          <w:hyperlink w:anchor="_Toc479325694" w:history="1">
            <w:r w:rsidR="00FC50D7" w:rsidRPr="001D4729">
              <w:rPr>
                <w:rStyle w:val="Hyperlnk"/>
                <w:i/>
                <w:noProof/>
              </w:rPr>
              <w:t>4.2.</w:t>
            </w:r>
            <w:r w:rsidR="00FC50D7">
              <w:rPr>
                <w:rFonts w:cstheme="minorBidi"/>
                <w:noProof/>
                <w:sz w:val="22"/>
                <w:szCs w:val="22"/>
                <w:lang w:eastAsia="en-GB"/>
              </w:rPr>
              <w:tab/>
            </w:r>
            <w:r w:rsidR="00FC50D7" w:rsidRPr="001D4729">
              <w:rPr>
                <w:rStyle w:val="Hyperlnk"/>
                <w:i/>
                <w:noProof/>
              </w:rPr>
              <w:t>Time table</w:t>
            </w:r>
            <w:r w:rsidR="00FC50D7">
              <w:rPr>
                <w:noProof/>
                <w:webHidden/>
              </w:rPr>
              <w:tab/>
            </w:r>
            <w:r w:rsidR="00FC50D7">
              <w:rPr>
                <w:noProof/>
                <w:webHidden/>
              </w:rPr>
              <w:fldChar w:fldCharType="begin"/>
            </w:r>
            <w:r w:rsidR="00FC50D7">
              <w:rPr>
                <w:noProof/>
                <w:webHidden/>
              </w:rPr>
              <w:instrText xml:space="preserve"> PAGEREF _Toc479325694 \h </w:instrText>
            </w:r>
            <w:r w:rsidR="00FC50D7">
              <w:rPr>
                <w:noProof/>
                <w:webHidden/>
              </w:rPr>
            </w:r>
            <w:r w:rsidR="00FC50D7">
              <w:rPr>
                <w:noProof/>
                <w:webHidden/>
              </w:rPr>
              <w:fldChar w:fldCharType="separate"/>
            </w:r>
            <w:r w:rsidR="00FC50D7">
              <w:rPr>
                <w:noProof/>
                <w:webHidden/>
              </w:rPr>
              <w:t>4</w:t>
            </w:r>
            <w:r w:rsidR="00FC50D7">
              <w:rPr>
                <w:noProof/>
                <w:webHidden/>
              </w:rPr>
              <w:fldChar w:fldCharType="end"/>
            </w:r>
          </w:hyperlink>
        </w:p>
        <w:p w:rsidR="00FC50D7" w:rsidRDefault="004D3DB6">
          <w:pPr>
            <w:pStyle w:val="Innehll1"/>
            <w:tabs>
              <w:tab w:val="left" w:pos="660"/>
              <w:tab w:val="right" w:leader="dot" w:pos="9062"/>
            </w:tabs>
            <w:rPr>
              <w:rFonts w:cstheme="minorBidi"/>
              <w:noProof/>
              <w:sz w:val="22"/>
              <w:szCs w:val="22"/>
              <w:lang w:eastAsia="en-GB"/>
            </w:rPr>
          </w:pPr>
          <w:hyperlink w:anchor="_Toc479325695" w:history="1">
            <w:r w:rsidR="00FC50D7" w:rsidRPr="001D4729">
              <w:rPr>
                <w:rStyle w:val="Hyperlnk"/>
                <w:i/>
                <w:noProof/>
              </w:rPr>
              <w:t>4.3.</w:t>
            </w:r>
            <w:r w:rsidR="00FC50D7">
              <w:rPr>
                <w:rFonts w:cstheme="minorBidi"/>
                <w:noProof/>
                <w:sz w:val="22"/>
                <w:szCs w:val="22"/>
                <w:lang w:eastAsia="en-GB"/>
              </w:rPr>
              <w:tab/>
            </w:r>
            <w:r w:rsidR="00FC50D7" w:rsidRPr="001D4729">
              <w:rPr>
                <w:rStyle w:val="Hyperlnk"/>
                <w:i/>
                <w:noProof/>
              </w:rPr>
              <w:t>Review</w:t>
            </w:r>
            <w:r w:rsidR="00FC50D7">
              <w:rPr>
                <w:noProof/>
                <w:webHidden/>
              </w:rPr>
              <w:tab/>
            </w:r>
            <w:r w:rsidR="00FC50D7">
              <w:rPr>
                <w:noProof/>
                <w:webHidden/>
              </w:rPr>
              <w:fldChar w:fldCharType="begin"/>
            </w:r>
            <w:r w:rsidR="00FC50D7">
              <w:rPr>
                <w:noProof/>
                <w:webHidden/>
              </w:rPr>
              <w:instrText xml:space="preserve"> PAGEREF _Toc479325695 \h </w:instrText>
            </w:r>
            <w:r w:rsidR="00FC50D7">
              <w:rPr>
                <w:noProof/>
                <w:webHidden/>
              </w:rPr>
            </w:r>
            <w:r w:rsidR="00FC50D7">
              <w:rPr>
                <w:noProof/>
                <w:webHidden/>
              </w:rPr>
              <w:fldChar w:fldCharType="separate"/>
            </w:r>
            <w:r w:rsidR="00FC50D7">
              <w:rPr>
                <w:noProof/>
                <w:webHidden/>
              </w:rPr>
              <w:t>5</w:t>
            </w:r>
            <w:r w:rsidR="00FC50D7">
              <w:rPr>
                <w:noProof/>
                <w:webHidden/>
              </w:rPr>
              <w:fldChar w:fldCharType="end"/>
            </w:r>
          </w:hyperlink>
        </w:p>
        <w:p w:rsidR="00FC50D7" w:rsidRDefault="004D3DB6">
          <w:pPr>
            <w:pStyle w:val="Innehll1"/>
            <w:tabs>
              <w:tab w:val="left" w:pos="880"/>
              <w:tab w:val="right" w:leader="dot" w:pos="9062"/>
            </w:tabs>
            <w:rPr>
              <w:rFonts w:cstheme="minorBidi"/>
              <w:noProof/>
              <w:sz w:val="22"/>
              <w:szCs w:val="22"/>
              <w:lang w:eastAsia="en-GB"/>
            </w:rPr>
          </w:pPr>
          <w:hyperlink w:anchor="_Toc479325696" w:history="1">
            <w:r w:rsidR="00FC50D7" w:rsidRPr="001D4729">
              <w:rPr>
                <w:rStyle w:val="Hyperlnk"/>
                <w:noProof/>
              </w:rPr>
              <w:t>4.3.1.</w:t>
            </w:r>
            <w:r w:rsidR="00FC50D7">
              <w:rPr>
                <w:rFonts w:cstheme="minorBidi"/>
                <w:noProof/>
                <w:sz w:val="22"/>
                <w:szCs w:val="22"/>
                <w:lang w:eastAsia="en-GB"/>
              </w:rPr>
              <w:tab/>
            </w:r>
            <w:r w:rsidR="00FC50D7" w:rsidRPr="001D4729">
              <w:rPr>
                <w:rStyle w:val="Hyperlnk"/>
                <w:noProof/>
              </w:rPr>
              <w:t>Ecodesign local space heaters (EU) 2015/1188</w:t>
            </w:r>
            <w:r w:rsidR="00FC50D7">
              <w:rPr>
                <w:noProof/>
                <w:webHidden/>
              </w:rPr>
              <w:tab/>
            </w:r>
            <w:r w:rsidR="00FC50D7">
              <w:rPr>
                <w:noProof/>
                <w:webHidden/>
              </w:rPr>
              <w:fldChar w:fldCharType="begin"/>
            </w:r>
            <w:r w:rsidR="00FC50D7">
              <w:rPr>
                <w:noProof/>
                <w:webHidden/>
              </w:rPr>
              <w:instrText xml:space="preserve"> PAGEREF _Toc479325696 \h </w:instrText>
            </w:r>
            <w:r w:rsidR="00FC50D7">
              <w:rPr>
                <w:noProof/>
                <w:webHidden/>
              </w:rPr>
            </w:r>
            <w:r w:rsidR="00FC50D7">
              <w:rPr>
                <w:noProof/>
                <w:webHidden/>
              </w:rPr>
              <w:fldChar w:fldCharType="separate"/>
            </w:r>
            <w:r w:rsidR="00FC50D7">
              <w:rPr>
                <w:noProof/>
                <w:webHidden/>
              </w:rPr>
              <w:t>5</w:t>
            </w:r>
            <w:r w:rsidR="00FC50D7">
              <w:rPr>
                <w:noProof/>
                <w:webHidden/>
              </w:rPr>
              <w:fldChar w:fldCharType="end"/>
            </w:r>
          </w:hyperlink>
        </w:p>
        <w:p w:rsidR="00FC50D7" w:rsidRDefault="004D3DB6">
          <w:pPr>
            <w:pStyle w:val="Innehll1"/>
            <w:tabs>
              <w:tab w:val="left" w:pos="880"/>
              <w:tab w:val="right" w:leader="dot" w:pos="9062"/>
            </w:tabs>
            <w:rPr>
              <w:rFonts w:cstheme="minorBidi"/>
              <w:noProof/>
              <w:sz w:val="22"/>
              <w:szCs w:val="22"/>
              <w:lang w:eastAsia="en-GB"/>
            </w:rPr>
          </w:pPr>
          <w:hyperlink w:anchor="_Toc479325697" w:history="1">
            <w:r w:rsidR="00FC50D7" w:rsidRPr="001D4729">
              <w:rPr>
                <w:rStyle w:val="Hyperlnk"/>
                <w:noProof/>
              </w:rPr>
              <w:t>4.3.2.</w:t>
            </w:r>
            <w:r w:rsidR="00FC50D7">
              <w:rPr>
                <w:rFonts w:cstheme="minorBidi"/>
                <w:noProof/>
                <w:sz w:val="22"/>
                <w:szCs w:val="22"/>
                <w:lang w:eastAsia="en-GB"/>
              </w:rPr>
              <w:tab/>
            </w:r>
            <w:r w:rsidR="00FC50D7" w:rsidRPr="001D4729">
              <w:rPr>
                <w:rStyle w:val="Hyperlnk"/>
                <w:noProof/>
              </w:rPr>
              <w:t>Ecodesign solid fuel local space heaters (EU) 2015/1185</w:t>
            </w:r>
            <w:r w:rsidR="00FC50D7">
              <w:rPr>
                <w:noProof/>
                <w:webHidden/>
              </w:rPr>
              <w:tab/>
            </w:r>
            <w:r w:rsidR="00FC50D7">
              <w:rPr>
                <w:noProof/>
                <w:webHidden/>
              </w:rPr>
              <w:fldChar w:fldCharType="begin"/>
            </w:r>
            <w:r w:rsidR="00FC50D7">
              <w:rPr>
                <w:noProof/>
                <w:webHidden/>
              </w:rPr>
              <w:instrText xml:space="preserve"> PAGEREF _Toc479325697 \h </w:instrText>
            </w:r>
            <w:r w:rsidR="00FC50D7">
              <w:rPr>
                <w:noProof/>
                <w:webHidden/>
              </w:rPr>
            </w:r>
            <w:r w:rsidR="00FC50D7">
              <w:rPr>
                <w:noProof/>
                <w:webHidden/>
              </w:rPr>
              <w:fldChar w:fldCharType="separate"/>
            </w:r>
            <w:r w:rsidR="00FC50D7">
              <w:rPr>
                <w:noProof/>
                <w:webHidden/>
              </w:rPr>
              <w:t>5</w:t>
            </w:r>
            <w:r w:rsidR="00FC50D7">
              <w:rPr>
                <w:noProof/>
                <w:webHidden/>
              </w:rPr>
              <w:fldChar w:fldCharType="end"/>
            </w:r>
          </w:hyperlink>
        </w:p>
        <w:p w:rsidR="00FC50D7" w:rsidRDefault="004D3DB6">
          <w:pPr>
            <w:pStyle w:val="Innehll1"/>
            <w:tabs>
              <w:tab w:val="left" w:pos="880"/>
              <w:tab w:val="right" w:leader="dot" w:pos="9062"/>
            </w:tabs>
            <w:rPr>
              <w:rFonts w:cstheme="minorBidi"/>
              <w:noProof/>
              <w:sz w:val="22"/>
              <w:szCs w:val="22"/>
              <w:lang w:eastAsia="en-GB"/>
            </w:rPr>
          </w:pPr>
          <w:hyperlink w:anchor="_Toc479325698" w:history="1">
            <w:r w:rsidR="00FC50D7" w:rsidRPr="001D4729">
              <w:rPr>
                <w:rStyle w:val="Hyperlnk"/>
                <w:noProof/>
              </w:rPr>
              <w:t>4.3.3.</w:t>
            </w:r>
            <w:r w:rsidR="00FC50D7">
              <w:rPr>
                <w:rFonts w:cstheme="minorBidi"/>
                <w:noProof/>
                <w:sz w:val="22"/>
                <w:szCs w:val="22"/>
                <w:lang w:eastAsia="en-GB"/>
              </w:rPr>
              <w:tab/>
            </w:r>
            <w:r w:rsidR="00FC50D7" w:rsidRPr="001D4729">
              <w:rPr>
                <w:rStyle w:val="Hyperlnk"/>
                <w:noProof/>
              </w:rPr>
              <w:t>Energy labelling local space heaters</w:t>
            </w:r>
            <w:r w:rsidR="00FC50D7">
              <w:rPr>
                <w:noProof/>
                <w:webHidden/>
              </w:rPr>
              <w:tab/>
            </w:r>
            <w:r w:rsidR="00FC50D7">
              <w:rPr>
                <w:noProof/>
                <w:webHidden/>
              </w:rPr>
              <w:fldChar w:fldCharType="begin"/>
            </w:r>
            <w:r w:rsidR="00FC50D7">
              <w:rPr>
                <w:noProof/>
                <w:webHidden/>
              </w:rPr>
              <w:instrText xml:space="preserve"> PAGEREF _Toc479325698 \h </w:instrText>
            </w:r>
            <w:r w:rsidR="00FC50D7">
              <w:rPr>
                <w:noProof/>
                <w:webHidden/>
              </w:rPr>
            </w:r>
            <w:r w:rsidR="00FC50D7">
              <w:rPr>
                <w:noProof/>
                <w:webHidden/>
              </w:rPr>
              <w:fldChar w:fldCharType="separate"/>
            </w:r>
            <w:r w:rsidR="00FC50D7">
              <w:rPr>
                <w:noProof/>
                <w:webHidden/>
              </w:rPr>
              <w:t>5</w:t>
            </w:r>
            <w:r w:rsidR="00FC50D7">
              <w:rPr>
                <w:noProof/>
                <w:webHidden/>
              </w:rPr>
              <w:fldChar w:fldCharType="end"/>
            </w:r>
          </w:hyperlink>
        </w:p>
        <w:p w:rsidR="00FC50D7" w:rsidRDefault="004D3DB6">
          <w:pPr>
            <w:pStyle w:val="Innehll1"/>
            <w:tabs>
              <w:tab w:val="left" w:pos="480"/>
              <w:tab w:val="right" w:leader="dot" w:pos="9062"/>
            </w:tabs>
            <w:rPr>
              <w:rFonts w:cstheme="minorBidi"/>
              <w:noProof/>
              <w:sz w:val="22"/>
              <w:szCs w:val="22"/>
              <w:lang w:eastAsia="en-GB"/>
            </w:rPr>
          </w:pPr>
          <w:hyperlink w:anchor="_Toc479325699" w:history="1">
            <w:r w:rsidR="00FC50D7" w:rsidRPr="001D4729">
              <w:rPr>
                <w:rStyle w:val="Hyperlnk"/>
                <w:noProof/>
              </w:rPr>
              <w:t>5.</w:t>
            </w:r>
            <w:r w:rsidR="00FC50D7">
              <w:rPr>
                <w:rFonts w:cstheme="minorBidi"/>
                <w:noProof/>
                <w:sz w:val="22"/>
                <w:szCs w:val="22"/>
                <w:lang w:eastAsia="en-GB"/>
              </w:rPr>
              <w:tab/>
            </w:r>
            <w:r w:rsidR="00FC50D7" w:rsidRPr="001D4729">
              <w:rPr>
                <w:rStyle w:val="Hyperlnk"/>
                <w:noProof/>
              </w:rPr>
              <w:t>Key requirements</w:t>
            </w:r>
            <w:r w:rsidR="00FC50D7">
              <w:rPr>
                <w:noProof/>
                <w:webHidden/>
              </w:rPr>
              <w:tab/>
            </w:r>
            <w:r w:rsidR="00FC50D7">
              <w:rPr>
                <w:noProof/>
                <w:webHidden/>
              </w:rPr>
              <w:fldChar w:fldCharType="begin"/>
            </w:r>
            <w:r w:rsidR="00FC50D7">
              <w:rPr>
                <w:noProof/>
                <w:webHidden/>
              </w:rPr>
              <w:instrText xml:space="preserve"> PAGEREF _Toc479325699 \h </w:instrText>
            </w:r>
            <w:r w:rsidR="00FC50D7">
              <w:rPr>
                <w:noProof/>
                <w:webHidden/>
              </w:rPr>
            </w:r>
            <w:r w:rsidR="00FC50D7">
              <w:rPr>
                <w:noProof/>
                <w:webHidden/>
              </w:rPr>
              <w:fldChar w:fldCharType="separate"/>
            </w:r>
            <w:r w:rsidR="00FC50D7">
              <w:rPr>
                <w:noProof/>
                <w:webHidden/>
              </w:rPr>
              <w:t>5</w:t>
            </w:r>
            <w:r w:rsidR="00FC50D7">
              <w:rPr>
                <w:noProof/>
                <w:webHidden/>
              </w:rPr>
              <w:fldChar w:fldCharType="end"/>
            </w:r>
          </w:hyperlink>
        </w:p>
        <w:p w:rsidR="00FC50D7" w:rsidRDefault="004D3DB6">
          <w:pPr>
            <w:pStyle w:val="Innehll1"/>
            <w:tabs>
              <w:tab w:val="left" w:pos="660"/>
              <w:tab w:val="right" w:leader="dot" w:pos="9062"/>
            </w:tabs>
            <w:rPr>
              <w:rFonts w:cstheme="minorBidi"/>
              <w:noProof/>
              <w:sz w:val="22"/>
              <w:szCs w:val="22"/>
              <w:lang w:eastAsia="en-GB"/>
            </w:rPr>
          </w:pPr>
          <w:hyperlink w:anchor="_Toc479325701" w:history="1">
            <w:r w:rsidR="00FC50D7" w:rsidRPr="001D4729">
              <w:rPr>
                <w:rStyle w:val="Hyperlnk"/>
                <w:i/>
                <w:noProof/>
              </w:rPr>
              <w:t>5.1.</w:t>
            </w:r>
            <w:r w:rsidR="00FC50D7">
              <w:rPr>
                <w:rFonts w:cstheme="minorBidi"/>
                <w:noProof/>
                <w:sz w:val="22"/>
                <w:szCs w:val="22"/>
                <w:lang w:eastAsia="en-GB"/>
              </w:rPr>
              <w:tab/>
            </w:r>
            <w:r w:rsidR="00FC50D7" w:rsidRPr="001D4729">
              <w:rPr>
                <w:rStyle w:val="Hyperlnk"/>
                <w:i/>
                <w:noProof/>
              </w:rPr>
              <w:t>Ecodesign requirements</w:t>
            </w:r>
            <w:r w:rsidR="00FC50D7">
              <w:rPr>
                <w:noProof/>
                <w:webHidden/>
              </w:rPr>
              <w:tab/>
            </w:r>
            <w:r w:rsidR="00FC50D7">
              <w:rPr>
                <w:noProof/>
                <w:webHidden/>
              </w:rPr>
              <w:fldChar w:fldCharType="begin"/>
            </w:r>
            <w:r w:rsidR="00FC50D7">
              <w:rPr>
                <w:noProof/>
                <w:webHidden/>
              </w:rPr>
              <w:instrText xml:space="preserve"> PAGEREF _Toc479325701 \h </w:instrText>
            </w:r>
            <w:r w:rsidR="00FC50D7">
              <w:rPr>
                <w:noProof/>
                <w:webHidden/>
              </w:rPr>
            </w:r>
            <w:r w:rsidR="00FC50D7">
              <w:rPr>
                <w:noProof/>
                <w:webHidden/>
              </w:rPr>
              <w:fldChar w:fldCharType="separate"/>
            </w:r>
            <w:r w:rsidR="00FC50D7">
              <w:rPr>
                <w:noProof/>
                <w:webHidden/>
              </w:rPr>
              <w:t>5</w:t>
            </w:r>
            <w:r w:rsidR="00FC50D7">
              <w:rPr>
                <w:noProof/>
                <w:webHidden/>
              </w:rPr>
              <w:fldChar w:fldCharType="end"/>
            </w:r>
          </w:hyperlink>
        </w:p>
        <w:p w:rsidR="00FC50D7" w:rsidRDefault="004D3DB6">
          <w:pPr>
            <w:pStyle w:val="Innehll1"/>
            <w:tabs>
              <w:tab w:val="left" w:pos="660"/>
              <w:tab w:val="right" w:leader="dot" w:pos="9062"/>
            </w:tabs>
            <w:rPr>
              <w:rFonts w:cstheme="minorBidi"/>
              <w:noProof/>
              <w:sz w:val="22"/>
              <w:szCs w:val="22"/>
              <w:lang w:eastAsia="en-GB"/>
            </w:rPr>
          </w:pPr>
          <w:hyperlink w:anchor="_Toc479325702" w:history="1">
            <w:r w:rsidR="00FC50D7" w:rsidRPr="001D4729">
              <w:rPr>
                <w:rStyle w:val="Hyperlnk"/>
                <w:i/>
                <w:noProof/>
              </w:rPr>
              <w:t>5.2.</w:t>
            </w:r>
            <w:r w:rsidR="00FC50D7">
              <w:rPr>
                <w:rFonts w:cstheme="minorBidi"/>
                <w:noProof/>
                <w:sz w:val="22"/>
                <w:szCs w:val="22"/>
                <w:lang w:eastAsia="en-GB"/>
              </w:rPr>
              <w:tab/>
            </w:r>
            <w:r w:rsidR="00FC50D7" w:rsidRPr="001D4729">
              <w:rPr>
                <w:rStyle w:val="Hyperlnk"/>
                <w:i/>
                <w:noProof/>
              </w:rPr>
              <w:t>Energy labelling requirements</w:t>
            </w:r>
            <w:r w:rsidR="00FC50D7">
              <w:rPr>
                <w:noProof/>
                <w:webHidden/>
              </w:rPr>
              <w:tab/>
            </w:r>
            <w:r w:rsidR="00FC50D7">
              <w:rPr>
                <w:noProof/>
                <w:webHidden/>
              </w:rPr>
              <w:fldChar w:fldCharType="begin"/>
            </w:r>
            <w:r w:rsidR="00FC50D7">
              <w:rPr>
                <w:noProof/>
                <w:webHidden/>
              </w:rPr>
              <w:instrText xml:space="preserve"> PAGEREF _Toc479325702 \h </w:instrText>
            </w:r>
            <w:r w:rsidR="00FC50D7">
              <w:rPr>
                <w:noProof/>
                <w:webHidden/>
              </w:rPr>
            </w:r>
            <w:r w:rsidR="00FC50D7">
              <w:rPr>
                <w:noProof/>
                <w:webHidden/>
              </w:rPr>
              <w:fldChar w:fldCharType="separate"/>
            </w:r>
            <w:r w:rsidR="00FC50D7">
              <w:rPr>
                <w:noProof/>
                <w:webHidden/>
              </w:rPr>
              <w:t>6</w:t>
            </w:r>
            <w:r w:rsidR="00FC50D7">
              <w:rPr>
                <w:noProof/>
                <w:webHidden/>
              </w:rPr>
              <w:fldChar w:fldCharType="end"/>
            </w:r>
          </w:hyperlink>
        </w:p>
        <w:p w:rsidR="00FC50D7" w:rsidRDefault="004D3DB6">
          <w:pPr>
            <w:pStyle w:val="Innehll1"/>
            <w:tabs>
              <w:tab w:val="left" w:pos="480"/>
              <w:tab w:val="right" w:leader="dot" w:pos="9062"/>
            </w:tabs>
            <w:rPr>
              <w:rFonts w:cstheme="minorBidi"/>
              <w:noProof/>
              <w:sz w:val="22"/>
              <w:szCs w:val="22"/>
              <w:lang w:eastAsia="en-GB"/>
            </w:rPr>
          </w:pPr>
          <w:hyperlink w:anchor="_Toc479325703" w:history="1">
            <w:r w:rsidR="00FC50D7" w:rsidRPr="001D4729">
              <w:rPr>
                <w:rStyle w:val="Hyperlnk"/>
                <w:noProof/>
              </w:rPr>
              <w:t>6.</w:t>
            </w:r>
            <w:r w:rsidR="00FC50D7">
              <w:rPr>
                <w:rFonts w:cstheme="minorBidi"/>
                <w:noProof/>
                <w:sz w:val="22"/>
                <w:szCs w:val="22"/>
                <w:lang w:eastAsia="en-GB"/>
              </w:rPr>
              <w:tab/>
            </w:r>
            <w:r w:rsidR="00FC50D7" w:rsidRPr="001D4729">
              <w:rPr>
                <w:rStyle w:val="Hyperlnk"/>
                <w:noProof/>
              </w:rPr>
              <w:t>Measurements and calculations, the Relationship between the regulations, the Commission communication (2017/C 076/02) and harmonised standards</w:t>
            </w:r>
            <w:r w:rsidR="00FC50D7">
              <w:rPr>
                <w:noProof/>
                <w:webHidden/>
              </w:rPr>
              <w:tab/>
            </w:r>
            <w:r w:rsidR="00FC50D7">
              <w:rPr>
                <w:noProof/>
                <w:webHidden/>
              </w:rPr>
              <w:fldChar w:fldCharType="begin"/>
            </w:r>
            <w:r w:rsidR="00FC50D7">
              <w:rPr>
                <w:noProof/>
                <w:webHidden/>
              </w:rPr>
              <w:instrText xml:space="preserve"> PAGEREF _Toc479325703 \h </w:instrText>
            </w:r>
            <w:r w:rsidR="00FC50D7">
              <w:rPr>
                <w:noProof/>
                <w:webHidden/>
              </w:rPr>
            </w:r>
            <w:r w:rsidR="00FC50D7">
              <w:rPr>
                <w:noProof/>
                <w:webHidden/>
              </w:rPr>
              <w:fldChar w:fldCharType="separate"/>
            </w:r>
            <w:r w:rsidR="00FC50D7">
              <w:rPr>
                <w:noProof/>
                <w:webHidden/>
              </w:rPr>
              <w:t>7</w:t>
            </w:r>
            <w:r w:rsidR="00FC50D7">
              <w:rPr>
                <w:noProof/>
                <w:webHidden/>
              </w:rPr>
              <w:fldChar w:fldCharType="end"/>
            </w:r>
          </w:hyperlink>
        </w:p>
        <w:p w:rsidR="00FC50D7" w:rsidRDefault="004D3DB6">
          <w:pPr>
            <w:pStyle w:val="Innehll1"/>
            <w:tabs>
              <w:tab w:val="left" w:pos="480"/>
              <w:tab w:val="right" w:leader="dot" w:pos="9062"/>
            </w:tabs>
            <w:rPr>
              <w:rFonts w:cstheme="minorBidi"/>
              <w:noProof/>
              <w:sz w:val="22"/>
              <w:szCs w:val="22"/>
              <w:lang w:eastAsia="en-GB"/>
            </w:rPr>
          </w:pPr>
          <w:hyperlink w:anchor="_Toc479325704" w:history="1">
            <w:r w:rsidR="00FC50D7" w:rsidRPr="001D4729">
              <w:rPr>
                <w:rStyle w:val="Hyperlnk"/>
                <w:noProof/>
              </w:rPr>
              <w:t>7.</w:t>
            </w:r>
            <w:r w:rsidR="00FC50D7">
              <w:rPr>
                <w:rFonts w:cstheme="minorBidi"/>
                <w:noProof/>
                <w:sz w:val="22"/>
                <w:szCs w:val="22"/>
                <w:lang w:eastAsia="en-GB"/>
              </w:rPr>
              <w:tab/>
            </w:r>
            <w:r w:rsidR="00FC50D7" w:rsidRPr="001D4729">
              <w:rPr>
                <w:rStyle w:val="Hyperlnk"/>
                <w:noProof/>
              </w:rPr>
              <w:t>Frequently asked questions</w:t>
            </w:r>
            <w:r w:rsidR="00FC50D7">
              <w:rPr>
                <w:noProof/>
                <w:webHidden/>
              </w:rPr>
              <w:tab/>
            </w:r>
            <w:r w:rsidR="00FC50D7">
              <w:rPr>
                <w:noProof/>
                <w:webHidden/>
              </w:rPr>
              <w:fldChar w:fldCharType="begin"/>
            </w:r>
            <w:r w:rsidR="00FC50D7">
              <w:rPr>
                <w:noProof/>
                <w:webHidden/>
              </w:rPr>
              <w:instrText xml:space="preserve"> PAGEREF _Toc479325704 \h </w:instrText>
            </w:r>
            <w:r w:rsidR="00FC50D7">
              <w:rPr>
                <w:noProof/>
                <w:webHidden/>
              </w:rPr>
            </w:r>
            <w:r w:rsidR="00FC50D7">
              <w:rPr>
                <w:noProof/>
                <w:webHidden/>
              </w:rPr>
              <w:fldChar w:fldCharType="separate"/>
            </w:r>
            <w:r w:rsidR="00FC50D7">
              <w:rPr>
                <w:noProof/>
                <w:webHidden/>
              </w:rPr>
              <w:t>7</w:t>
            </w:r>
            <w:r w:rsidR="00FC50D7">
              <w:rPr>
                <w:noProof/>
                <w:webHidden/>
              </w:rPr>
              <w:fldChar w:fldCharType="end"/>
            </w:r>
          </w:hyperlink>
        </w:p>
        <w:p w:rsidR="007B232C" w:rsidRPr="006B18A3" w:rsidRDefault="007B232C">
          <w:r w:rsidRPr="006B18A3">
            <w:rPr>
              <w:b/>
              <w:bCs/>
            </w:rPr>
            <w:fldChar w:fldCharType="end"/>
          </w:r>
        </w:p>
      </w:sdtContent>
    </w:sdt>
    <w:p w:rsidR="007B232C" w:rsidRPr="006B18A3" w:rsidRDefault="007B232C">
      <w:pPr>
        <w:spacing w:after="0"/>
        <w:jc w:val="left"/>
        <w:rPr>
          <w:rFonts w:asciiTheme="majorHAnsi" w:eastAsiaTheme="majorEastAsia" w:hAnsiTheme="majorHAnsi" w:cstheme="majorBidi"/>
          <w:b/>
          <w:bCs/>
          <w:kern w:val="32"/>
          <w:sz w:val="32"/>
          <w:szCs w:val="32"/>
        </w:rPr>
      </w:pPr>
      <w:r w:rsidRPr="006B18A3">
        <w:br w:type="page"/>
      </w:r>
    </w:p>
    <w:p w:rsidR="00367F91" w:rsidRPr="006B18A3" w:rsidRDefault="00367F91" w:rsidP="007B232C">
      <w:pPr>
        <w:pStyle w:val="Rubrik1"/>
      </w:pPr>
      <w:bookmarkStart w:id="1" w:name="_Toc479325685"/>
      <w:r w:rsidRPr="006B18A3">
        <w:lastRenderedPageBreak/>
        <w:t>Purpose of the guidelines and disclaimer</w:t>
      </w:r>
      <w:bookmarkEnd w:id="1"/>
    </w:p>
    <w:p w:rsidR="00367F91" w:rsidRPr="006B18A3" w:rsidRDefault="00367F91" w:rsidP="007B232C">
      <w:r w:rsidRPr="006B18A3">
        <w:t xml:space="preserve">The ecodesign and energy labelling regulations for local space heaters were published in 2015. These regulations establish minimum requirements and an energy labelling scheme for the products in their scope. These guidelines aim to help relevant stakeholders, including industry and public authorities, to implement the regulations in practice. </w:t>
      </w:r>
      <w:r w:rsidR="007B232C" w:rsidRPr="006B18A3">
        <w:t xml:space="preserve">They summarise the most relevant information from the regulations to give SMEs an introduction to the subject matter and answer the most common questions. </w:t>
      </w:r>
    </w:p>
    <w:p w:rsidR="007B232C" w:rsidRPr="006B18A3" w:rsidRDefault="007B232C" w:rsidP="007B232C">
      <w:r w:rsidRPr="006B18A3">
        <w:t xml:space="preserve">The guidelines are intended to be used only for facilitating the implementation of the Regulations. They are not intended to replace the Regulations or to provide "interpretation" beyond their intent. The guidelines only reflect the opinion of the Commission services and are not legally binding. A finally binding interpretation of EU legislation may only be provided by the European Court of Justice. </w:t>
      </w:r>
    </w:p>
    <w:p w:rsidR="007B232C" w:rsidRPr="009A732D" w:rsidRDefault="007B232C" w:rsidP="00594667">
      <w:pPr>
        <w:pStyle w:val="Rubrik1"/>
        <w:numPr>
          <w:ilvl w:val="1"/>
          <w:numId w:val="4"/>
        </w:numPr>
        <w:rPr>
          <w:i/>
          <w:sz w:val="28"/>
        </w:rPr>
      </w:pPr>
      <w:bookmarkStart w:id="2" w:name="_Toc479325686"/>
      <w:r w:rsidRPr="009A732D">
        <w:rPr>
          <w:i/>
          <w:sz w:val="28"/>
        </w:rPr>
        <w:t>The Regulations</w:t>
      </w:r>
      <w:bookmarkEnd w:id="2"/>
    </w:p>
    <w:p w:rsidR="007B232C" w:rsidRPr="006B18A3" w:rsidRDefault="007B232C" w:rsidP="007B232C">
      <w:r w:rsidRPr="006B18A3">
        <w:t xml:space="preserve">The </w:t>
      </w:r>
      <w:r w:rsidR="006B18A3" w:rsidRPr="006B18A3">
        <w:t xml:space="preserve">European Union </w:t>
      </w:r>
      <w:r w:rsidRPr="006B18A3">
        <w:t xml:space="preserve">has </w:t>
      </w:r>
      <w:r w:rsidR="006B18A3" w:rsidRPr="006B18A3">
        <w:t xml:space="preserve">adopted </w:t>
      </w:r>
      <w:r w:rsidRPr="006B18A3">
        <w:t>following regulations concerning local space heaters:</w:t>
      </w:r>
    </w:p>
    <w:p w:rsidR="007B232C" w:rsidRPr="006B18A3" w:rsidRDefault="007B232C" w:rsidP="00A4592C">
      <w:pPr>
        <w:pStyle w:val="Liststycke"/>
        <w:numPr>
          <w:ilvl w:val="0"/>
          <w:numId w:val="7"/>
        </w:numPr>
        <w:spacing w:after="480"/>
      </w:pPr>
      <w:r w:rsidRPr="006B18A3">
        <w:t xml:space="preserve">Commission Delegated Regulation (EU) 2015/1186 of </w:t>
      </w:r>
      <w:r w:rsidR="00A4592C" w:rsidRPr="006B18A3">
        <w:t>24 April 2015 supplementing Directive 2010/30/EU of the European Parliament and of the Council with regards to the energy labelling of local space heaters</w:t>
      </w:r>
      <w:r w:rsidR="00A4592C" w:rsidRPr="006B18A3">
        <w:rPr>
          <w:rStyle w:val="Fotnotsreferens"/>
        </w:rPr>
        <w:footnoteReference w:id="1"/>
      </w:r>
      <w:r w:rsidR="00A4592C" w:rsidRPr="006B18A3">
        <w:t>;</w:t>
      </w:r>
    </w:p>
    <w:p w:rsidR="00A4592C" w:rsidRPr="006B18A3" w:rsidRDefault="00A4592C" w:rsidP="007B232C">
      <w:pPr>
        <w:pStyle w:val="Liststycke"/>
        <w:numPr>
          <w:ilvl w:val="0"/>
          <w:numId w:val="7"/>
        </w:numPr>
      </w:pPr>
      <w:r w:rsidRPr="006B18A3">
        <w:t>Commission Regulation (EU) 2015/1188 of 28 April 2015 implementing Directive 2009/125/EC of the European Parliament and of the Council with regards to ecodesign requirements for local space heaters</w:t>
      </w:r>
      <w:r w:rsidRPr="006B18A3">
        <w:rPr>
          <w:rStyle w:val="Fotnotsreferens"/>
        </w:rPr>
        <w:footnoteReference w:id="2"/>
      </w:r>
      <w:r w:rsidRPr="006B18A3">
        <w:t>;</w:t>
      </w:r>
    </w:p>
    <w:p w:rsidR="00A4592C" w:rsidRPr="006B18A3" w:rsidRDefault="00A4592C" w:rsidP="007B232C">
      <w:pPr>
        <w:pStyle w:val="Liststycke"/>
        <w:numPr>
          <w:ilvl w:val="0"/>
          <w:numId w:val="7"/>
        </w:numPr>
      </w:pPr>
      <w:r w:rsidRPr="006B18A3">
        <w:t>Commission Regulation (EU) 2015/1185 of 24 April 2015 implementing Directive 2009/125/EC of the European Parliament and of the Council with regards to ecodesign requirements for solid fuel local space heaters</w:t>
      </w:r>
      <w:r w:rsidRPr="006B18A3">
        <w:rPr>
          <w:rStyle w:val="Fotnotsreferens"/>
        </w:rPr>
        <w:footnoteReference w:id="3"/>
      </w:r>
      <w:r w:rsidRPr="006B18A3">
        <w:t>.</w:t>
      </w:r>
    </w:p>
    <w:p w:rsidR="00A4592C" w:rsidRPr="006B18A3" w:rsidRDefault="00A4592C" w:rsidP="00A4592C">
      <w:pPr>
        <w:pStyle w:val="Rubrik1"/>
      </w:pPr>
      <w:bookmarkStart w:id="3" w:name="_Toc479325687"/>
      <w:r w:rsidRPr="006B18A3">
        <w:t>Scope</w:t>
      </w:r>
      <w:bookmarkEnd w:id="3"/>
    </w:p>
    <w:p w:rsidR="00860A57" w:rsidRPr="006B18A3" w:rsidRDefault="00A4592C" w:rsidP="00A4592C">
      <w:r w:rsidRPr="006B18A3">
        <w:t xml:space="preserve">Ecodesign </w:t>
      </w:r>
      <w:r w:rsidR="00447CD2" w:rsidRPr="006B18A3">
        <w:t>regulation (EU) 2015/1188 covers local space heaters</w:t>
      </w:r>
      <w:r w:rsidRPr="006B18A3">
        <w:t>, with the exception of solid fuel local space heaters</w:t>
      </w:r>
      <w:r w:rsidR="00490D62" w:rsidRPr="006B18A3">
        <w:t>,</w:t>
      </w:r>
      <w:r w:rsidRPr="006B18A3">
        <w:t xml:space="preserve"> with a nominal heat output up to 120kW. </w:t>
      </w:r>
      <w:r w:rsidR="00860A57" w:rsidRPr="006B18A3">
        <w:t xml:space="preserve">Solid fuel local space heaters with a nominal heat output up to </w:t>
      </w:r>
      <w:r w:rsidR="00D73FB8" w:rsidRPr="006B18A3">
        <w:t xml:space="preserve">50 </w:t>
      </w:r>
      <w:r w:rsidR="00860A57" w:rsidRPr="006B18A3">
        <w:t xml:space="preserve">kW are covered by Ecodesign </w:t>
      </w:r>
      <w:r w:rsidR="00447CD2" w:rsidRPr="006B18A3">
        <w:t>regulation (EU) 2015/1185</w:t>
      </w:r>
      <w:r w:rsidR="00860A57" w:rsidRPr="006B18A3">
        <w:t xml:space="preserve">. </w:t>
      </w:r>
      <w:r w:rsidR="00447CD2" w:rsidRPr="006B18A3">
        <w:t>The Energy L</w:t>
      </w:r>
      <w:r w:rsidR="00D73FB8" w:rsidRPr="006B18A3">
        <w:t xml:space="preserve">abelling </w:t>
      </w:r>
      <w:r w:rsidR="00447CD2" w:rsidRPr="006B18A3">
        <w:t>R</w:t>
      </w:r>
      <w:r w:rsidR="00D73FB8" w:rsidRPr="006B18A3">
        <w:t>egulation</w:t>
      </w:r>
      <w:r w:rsidR="00447CD2" w:rsidRPr="006B18A3">
        <w:t xml:space="preserve"> (EU) 2015/1186</w:t>
      </w:r>
      <w:r w:rsidR="00D73FB8" w:rsidRPr="006B18A3">
        <w:t xml:space="preserve"> covers local space heaters with a nominal heat output up to 50kW, including solid fuel local space heaters, but excluding electric, luminous and tube local space heaters.</w:t>
      </w:r>
    </w:p>
    <w:p w:rsidR="00D73FB8" w:rsidRPr="006B18A3" w:rsidRDefault="00D73FB8" w:rsidP="00A4592C">
      <w:r w:rsidRPr="006B18A3">
        <w:t>The heaters covered by the Regulations can be classified as follows:</w:t>
      </w:r>
    </w:p>
    <w:p w:rsidR="00D73FB8" w:rsidRPr="006B18A3" w:rsidRDefault="00AD3455" w:rsidP="00D73FB8">
      <w:pPr>
        <w:pStyle w:val="Liststycke"/>
        <w:numPr>
          <w:ilvl w:val="0"/>
          <w:numId w:val="8"/>
        </w:numPr>
      </w:pPr>
      <w:r w:rsidRPr="006B18A3">
        <w:t>G</w:t>
      </w:r>
      <w:r w:rsidR="00D73FB8" w:rsidRPr="006B18A3">
        <w:t>aseous</w:t>
      </w:r>
      <w:r w:rsidRPr="006B18A3">
        <w:t xml:space="preserve"> fuel</w:t>
      </w:r>
      <w:r w:rsidR="00D73FB8" w:rsidRPr="006B18A3">
        <w:t xml:space="preserve"> </w:t>
      </w:r>
      <w:r w:rsidRPr="006B18A3">
        <w:t>local space heaters</w:t>
      </w:r>
    </w:p>
    <w:p w:rsidR="00D73FB8" w:rsidRPr="006B18A3" w:rsidRDefault="00AD3455" w:rsidP="00D73FB8">
      <w:pPr>
        <w:pStyle w:val="Liststycke"/>
        <w:numPr>
          <w:ilvl w:val="0"/>
          <w:numId w:val="8"/>
        </w:numPr>
      </w:pPr>
      <w:r w:rsidRPr="006B18A3">
        <w:t>L</w:t>
      </w:r>
      <w:r w:rsidR="00D73FB8" w:rsidRPr="006B18A3">
        <w:t>iquid fuel</w:t>
      </w:r>
      <w:r w:rsidRPr="006B18A3">
        <w:t xml:space="preserve"> local space heaters</w:t>
      </w:r>
    </w:p>
    <w:p w:rsidR="009E1928" w:rsidRPr="006B18A3" w:rsidRDefault="00AD3455" w:rsidP="00D73FB8">
      <w:pPr>
        <w:pStyle w:val="Liststycke"/>
        <w:numPr>
          <w:ilvl w:val="0"/>
          <w:numId w:val="8"/>
        </w:numPr>
      </w:pPr>
      <w:r w:rsidRPr="006B18A3">
        <w:t xml:space="preserve">Electric </w:t>
      </w:r>
      <w:r w:rsidR="009E1928" w:rsidRPr="006B18A3">
        <w:t>space heaters</w:t>
      </w:r>
    </w:p>
    <w:p w:rsidR="000C7ED1" w:rsidRPr="006B18A3" w:rsidRDefault="00AD3455" w:rsidP="000C7ED1">
      <w:pPr>
        <w:pStyle w:val="Liststycke"/>
        <w:numPr>
          <w:ilvl w:val="0"/>
          <w:numId w:val="8"/>
        </w:numPr>
      </w:pPr>
      <w:r w:rsidRPr="006B18A3">
        <w:t>Solid fuel local space heaters</w:t>
      </w:r>
    </w:p>
    <w:p w:rsidR="008A16BD" w:rsidRPr="006B18A3" w:rsidRDefault="008A16BD" w:rsidP="000C7ED1">
      <w:pPr>
        <w:pStyle w:val="Liststycke"/>
        <w:numPr>
          <w:ilvl w:val="0"/>
          <w:numId w:val="8"/>
        </w:numPr>
      </w:pPr>
      <w:r w:rsidRPr="006B18A3">
        <w:t>Solid fuel cookers</w:t>
      </w:r>
    </w:p>
    <w:p w:rsidR="000C7ED1" w:rsidRPr="006B18A3" w:rsidRDefault="000C7ED1" w:rsidP="000C7ED1">
      <w:pPr>
        <w:pStyle w:val="Rubrik1"/>
      </w:pPr>
      <w:bookmarkStart w:id="4" w:name="_Toc479325688"/>
      <w:r w:rsidRPr="006B18A3">
        <w:lastRenderedPageBreak/>
        <w:t>Product environmental impacts</w:t>
      </w:r>
      <w:bookmarkEnd w:id="4"/>
    </w:p>
    <w:p w:rsidR="000C7ED1" w:rsidRPr="006B18A3" w:rsidRDefault="00483F52" w:rsidP="000C7ED1">
      <w:r w:rsidRPr="006B18A3">
        <w:t>The preparatory study</w:t>
      </w:r>
      <w:r w:rsidR="00D05EC4" w:rsidRPr="006B18A3">
        <w:rPr>
          <w:rStyle w:val="Fotnotsreferens"/>
        </w:rPr>
        <w:footnoteReference w:id="4"/>
      </w:r>
      <w:r w:rsidRPr="006B18A3">
        <w:t xml:space="preserve"> identified and analysed the relevant environmental impacts of local space heaters. The use phase of the products has been cl</w:t>
      </w:r>
      <w:r w:rsidRPr="00620766">
        <w:t>early identified as the most important phase in terms of both environmental impacts and having the most potential for improvement. Therefore, no specific requirements considering production or transport were proposed and the regulatory m</w:t>
      </w:r>
      <w:r w:rsidRPr="006B18A3">
        <w:t>easure focuse</w:t>
      </w:r>
      <w:r w:rsidR="006B18A3" w:rsidRPr="006B18A3">
        <w:t>s</w:t>
      </w:r>
      <w:r w:rsidRPr="006B18A3">
        <w:t xml:space="preserve"> on the use phase and, for ecodesign</w:t>
      </w:r>
      <w:r w:rsidR="006B18A3" w:rsidRPr="006B18A3">
        <w:t>,</w:t>
      </w:r>
      <w:r w:rsidRPr="006B18A3">
        <w:t xml:space="preserve"> also on the end-of life-phase. </w:t>
      </w:r>
    </w:p>
    <w:p w:rsidR="00483F52" w:rsidRPr="006B18A3" w:rsidRDefault="00483F52" w:rsidP="000C7ED1">
      <w:r w:rsidRPr="006B18A3">
        <w:t>As for most products subject to ecodesign regulations</w:t>
      </w:r>
      <w:r w:rsidR="00CA5F96" w:rsidRPr="006B18A3">
        <w:t>,</w:t>
      </w:r>
      <w:r w:rsidRPr="006B18A3">
        <w:t xml:space="preserve"> the primary energy consumption during the use phase </w:t>
      </w:r>
      <w:r w:rsidR="006B18A3" w:rsidRPr="006B18A3">
        <w:t xml:space="preserve">constitutes the main environmental </w:t>
      </w:r>
      <w:r w:rsidRPr="006B18A3">
        <w:t xml:space="preserve">impact via the </w:t>
      </w:r>
      <w:r w:rsidR="006B18A3" w:rsidRPr="006B18A3">
        <w:t xml:space="preserve">related </w:t>
      </w:r>
      <w:r w:rsidRPr="006B18A3">
        <w:t xml:space="preserve">carbon </w:t>
      </w:r>
      <w:r w:rsidR="006B18A3" w:rsidRPr="006B18A3">
        <w:t xml:space="preserve">dioxide </w:t>
      </w:r>
      <w:r w:rsidRPr="006B18A3">
        <w:t xml:space="preserve">emissions. </w:t>
      </w:r>
    </w:p>
    <w:p w:rsidR="00483F52" w:rsidRPr="006B18A3" w:rsidRDefault="00483F52" w:rsidP="000C7ED1">
      <w:r w:rsidRPr="006B18A3">
        <w:t>Emissions from the combustion of fuel (e.g. NO</w:t>
      </w:r>
      <w:r w:rsidRPr="006B18A3">
        <w:rPr>
          <w:vertAlign w:val="subscript"/>
        </w:rPr>
        <w:t>x</w:t>
      </w:r>
      <w:r w:rsidRPr="006B18A3">
        <w:t>,</w:t>
      </w:r>
      <w:r w:rsidR="008E55AC" w:rsidRPr="006B18A3">
        <w:t xml:space="preserve"> particulate matter, organic gaseous compounds and carbon monoxide) are also relevant for the local space heaters with a burner. Electric local space heaters do not directly produce emissions of this kind. </w:t>
      </w:r>
    </w:p>
    <w:p w:rsidR="008E55AC" w:rsidRPr="006B18A3" w:rsidRDefault="008E55AC" w:rsidP="008E55AC">
      <w:pPr>
        <w:pStyle w:val="Rubrik1"/>
      </w:pPr>
      <w:bookmarkStart w:id="5" w:name="_Toc479325689"/>
      <w:r w:rsidRPr="006B18A3">
        <w:t>State of play of legislation</w:t>
      </w:r>
      <w:bookmarkEnd w:id="5"/>
    </w:p>
    <w:p w:rsidR="008E55AC" w:rsidRPr="009A732D" w:rsidRDefault="008E55AC" w:rsidP="009A732D">
      <w:pPr>
        <w:pStyle w:val="Rubrik1"/>
        <w:numPr>
          <w:ilvl w:val="1"/>
          <w:numId w:val="4"/>
        </w:numPr>
        <w:rPr>
          <w:i/>
          <w:sz w:val="28"/>
        </w:rPr>
      </w:pPr>
      <w:bookmarkStart w:id="6" w:name="_Toc475364784"/>
      <w:bookmarkStart w:id="7" w:name="_Toc475428949"/>
      <w:bookmarkStart w:id="8" w:name="_Toc475456343"/>
      <w:bookmarkStart w:id="9" w:name="_Toc475456362"/>
      <w:bookmarkStart w:id="10" w:name="_Toc479324618"/>
      <w:bookmarkStart w:id="11" w:name="_Toc479325690"/>
      <w:bookmarkStart w:id="12" w:name="_Toc475364785"/>
      <w:bookmarkStart w:id="13" w:name="_Toc475428950"/>
      <w:bookmarkStart w:id="14" w:name="_Toc475456344"/>
      <w:bookmarkStart w:id="15" w:name="_Toc475456363"/>
      <w:bookmarkStart w:id="16" w:name="_Toc479324619"/>
      <w:bookmarkStart w:id="17" w:name="_Toc479325691"/>
      <w:bookmarkStart w:id="18" w:name="_Toc475364786"/>
      <w:bookmarkStart w:id="19" w:name="_Toc475428951"/>
      <w:bookmarkStart w:id="20" w:name="_Toc475456345"/>
      <w:bookmarkStart w:id="21" w:name="_Toc475456364"/>
      <w:bookmarkStart w:id="22" w:name="_Toc479324620"/>
      <w:bookmarkStart w:id="23" w:name="_Toc479325692"/>
      <w:bookmarkStart w:id="24" w:name="_Toc47932569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A732D">
        <w:rPr>
          <w:i/>
          <w:sz w:val="28"/>
        </w:rPr>
        <w:t>History of the product legislations to date</w:t>
      </w:r>
      <w:bookmarkEnd w:id="24"/>
    </w:p>
    <w:p w:rsidR="008E55AC" w:rsidRPr="006B18A3" w:rsidRDefault="008E55AC" w:rsidP="008E55AC">
      <w:r w:rsidRPr="006B18A3">
        <w:t xml:space="preserve">From the start of the preparatory study in </w:t>
      </w:r>
      <w:r w:rsidR="00125B73" w:rsidRPr="006B18A3">
        <w:t xml:space="preserve">2011 until the publication of the implementing </w:t>
      </w:r>
      <w:r w:rsidR="006B18A3" w:rsidRPr="006B18A3">
        <w:t xml:space="preserve">measures </w:t>
      </w:r>
      <w:r w:rsidR="00125B73" w:rsidRPr="006B18A3">
        <w:t>in 2015, the process lasted 4 years.</w:t>
      </w:r>
    </w:p>
    <w:p w:rsidR="00125B73" w:rsidRPr="009A732D" w:rsidRDefault="00495242" w:rsidP="009A732D">
      <w:pPr>
        <w:pStyle w:val="Rubrik1"/>
        <w:numPr>
          <w:ilvl w:val="1"/>
          <w:numId w:val="4"/>
        </w:numPr>
        <w:rPr>
          <w:i/>
          <w:sz w:val="28"/>
        </w:rPr>
      </w:pPr>
      <w:bookmarkStart w:id="25" w:name="_Toc479325694"/>
      <w:r w:rsidRPr="009A732D">
        <w:rPr>
          <w:i/>
          <w:sz w:val="28"/>
        </w:rPr>
        <w:t>Time table</w:t>
      </w:r>
      <w:bookmarkEnd w:id="25"/>
    </w:p>
    <w:p w:rsidR="00495242" w:rsidRPr="006B18A3" w:rsidRDefault="00495242" w:rsidP="00495242">
      <w:pPr>
        <w:pStyle w:val="Liststycke"/>
        <w:numPr>
          <w:ilvl w:val="0"/>
          <w:numId w:val="10"/>
        </w:numPr>
      </w:pPr>
      <w:r w:rsidRPr="006B18A3">
        <w:t xml:space="preserve">21/07/2015: </w:t>
      </w:r>
      <w:r w:rsidRPr="006B18A3">
        <w:tab/>
        <w:t>Publication</w:t>
      </w:r>
    </w:p>
    <w:p w:rsidR="00495242" w:rsidRPr="006B18A3" w:rsidRDefault="00495242" w:rsidP="00495242">
      <w:pPr>
        <w:pStyle w:val="Liststycke"/>
        <w:numPr>
          <w:ilvl w:val="0"/>
          <w:numId w:val="10"/>
        </w:numPr>
      </w:pPr>
      <w:r w:rsidRPr="006B18A3">
        <w:t xml:space="preserve">10/08/2015: </w:t>
      </w:r>
      <w:r w:rsidRPr="006B18A3">
        <w:tab/>
        <w:t>Entry into force</w:t>
      </w:r>
    </w:p>
    <w:p w:rsidR="00495242" w:rsidRPr="006B18A3" w:rsidRDefault="00495242" w:rsidP="00495242">
      <w:pPr>
        <w:pStyle w:val="Liststycke"/>
        <w:numPr>
          <w:ilvl w:val="0"/>
          <w:numId w:val="10"/>
        </w:numPr>
        <w:spacing w:after="0"/>
      </w:pPr>
      <w:r w:rsidRPr="006B18A3">
        <w:t xml:space="preserve">01/01/2018: </w:t>
      </w:r>
      <w:r w:rsidRPr="006B18A3">
        <w:tab/>
        <w:t xml:space="preserve">Tier 1 requirements for local space heaters, excluding solid fuel local </w:t>
      </w:r>
    </w:p>
    <w:p w:rsidR="00447CD2" w:rsidRPr="006B18A3" w:rsidRDefault="00495242" w:rsidP="00287913">
      <w:pPr>
        <w:spacing w:after="0"/>
        <w:ind w:left="2160"/>
      </w:pPr>
      <w:r w:rsidRPr="006B18A3">
        <w:t>space heaters on energy efficiency and NO</w:t>
      </w:r>
      <w:r w:rsidRPr="006B18A3">
        <w:rPr>
          <w:vertAlign w:val="subscript"/>
        </w:rPr>
        <w:t>x</w:t>
      </w:r>
      <w:r w:rsidR="00287913" w:rsidRPr="006B18A3">
        <w:t xml:space="preserve"> </w:t>
      </w:r>
    </w:p>
    <w:p w:rsidR="00495242" w:rsidRPr="006B18A3" w:rsidRDefault="00447CD2" w:rsidP="00287913">
      <w:pPr>
        <w:spacing w:after="0"/>
        <w:ind w:left="2160"/>
      </w:pPr>
      <w:r w:rsidRPr="006B18A3">
        <w:t>E</w:t>
      </w:r>
      <w:r w:rsidR="00287913" w:rsidRPr="006B18A3">
        <w:t>nergy labelling with a scale from A++ to G for all local space heaters except flueless heaters or open to chimney heaters using solid fuels</w:t>
      </w:r>
    </w:p>
    <w:p w:rsidR="00287913" w:rsidRPr="006B18A3" w:rsidRDefault="00287913" w:rsidP="00495242">
      <w:pPr>
        <w:pStyle w:val="Liststycke"/>
        <w:numPr>
          <w:ilvl w:val="0"/>
          <w:numId w:val="10"/>
        </w:numPr>
        <w:spacing w:after="0"/>
      </w:pPr>
      <w:r w:rsidRPr="006B18A3">
        <w:t xml:space="preserve">22/08/2018: </w:t>
      </w:r>
      <w:r w:rsidRPr="006B18A3">
        <w:tab/>
        <w:t>Special revision on 3</w:t>
      </w:r>
      <w:r w:rsidRPr="006B18A3">
        <w:rPr>
          <w:vertAlign w:val="superscript"/>
        </w:rPr>
        <w:t>rd</w:t>
      </w:r>
      <w:r w:rsidRPr="006B18A3">
        <w:t xml:space="preserve"> party certification for solid fuel local space</w:t>
      </w:r>
    </w:p>
    <w:p w:rsidR="00287913" w:rsidRPr="006B18A3" w:rsidRDefault="00287913" w:rsidP="00287913">
      <w:pPr>
        <w:spacing w:after="0"/>
        <w:ind w:left="1440" w:firstLine="720"/>
      </w:pPr>
      <w:r w:rsidRPr="006B18A3">
        <w:t>Heaters</w:t>
      </w:r>
      <w:r w:rsidR="00DD33E6" w:rsidRPr="006B18A3">
        <w:t xml:space="preserve"> ((EU) 2015/1185)</w:t>
      </w:r>
    </w:p>
    <w:p w:rsidR="00287913" w:rsidRPr="006B18A3" w:rsidRDefault="00495242" w:rsidP="00495242">
      <w:pPr>
        <w:pStyle w:val="Liststycke"/>
        <w:numPr>
          <w:ilvl w:val="0"/>
          <w:numId w:val="10"/>
        </w:numPr>
        <w:spacing w:after="0"/>
      </w:pPr>
      <w:r w:rsidRPr="006B18A3">
        <w:t>01/01/2019:</w:t>
      </w:r>
      <w:r w:rsidRPr="006B18A3">
        <w:tab/>
        <w:t xml:space="preserve">Revision ecodesign requirements </w:t>
      </w:r>
      <w:r w:rsidR="00287913" w:rsidRPr="006B18A3">
        <w:t xml:space="preserve">for </w:t>
      </w:r>
      <w:r w:rsidRPr="006B18A3">
        <w:t xml:space="preserve">local space heaters, excluding </w:t>
      </w:r>
    </w:p>
    <w:p w:rsidR="00495242" w:rsidRPr="006B18A3" w:rsidRDefault="00495242" w:rsidP="00287913">
      <w:pPr>
        <w:spacing w:after="0"/>
        <w:ind w:left="1440" w:firstLine="720"/>
      </w:pPr>
      <w:r w:rsidRPr="006B18A3">
        <w:t>solid fuel local space heaters</w:t>
      </w:r>
      <w:r w:rsidR="00DD33E6" w:rsidRPr="006B18A3">
        <w:t xml:space="preserve"> ((EU) 2015/1188)</w:t>
      </w:r>
    </w:p>
    <w:p w:rsidR="00DD08B8" w:rsidRPr="006B18A3" w:rsidRDefault="00DD08B8" w:rsidP="00DD08B8">
      <w:pPr>
        <w:pStyle w:val="Liststycke"/>
        <w:numPr>
          <w:ilvl w:val="0"/>
          <w:numId w:val="10"/>
        </w:numPr>
        <w:spacing w:after="0"/>
      </w:pPr>
      <w:r w:rsidRPr="006B18A3">
        <w:t>01/01/2022:</w:t>
      </w:r>
      <w:r w:rsidRPr="006B18A3">
        <w:tab/>
        <w:t>Tier 1 requirements for solid fuel local space heaters space heaters on</w:t>
      </w:r>
    </w:p>
    <w:p w:rsidR="00064B96" w:rsidRPr="006B18A3" w:rsidRDefault="00287913" w:rsidP="00287913">
      <w:pPr>
        <w:spacing w:after="0"/>
        <w:ind w:left="2160"/>
      </w:pPr>
      <w:r w:rsidRPr="006B18A3">
        <w:t>energy efficiency, NO</w:t>
      </w:r>
      <w:r w:rsidRPr="006B18A3">
        <w:rPr>
          <w:vertAlign w:val="subscript"/>
        </w:rPr>
        <w:t>x</w:t>
      </w:r>
      <w:r w:rsidRPr="006B18A3">
        <w:t>, particulate matter (PM), carbon monoxide (CO) and organic gaseous compounds</w:t>
      </w:r>
      <w:r w:rsidR="00213ED5" w:rsidRPr="006B18A3">
        <w:t xml:space="preserve"> (OGC)</w:t>
      </w:r>
      <w:r w:rsidRPr="006B18A3">
        <w:t xml:space="preserve"> </w:t>
      </w:r>
    </w:p>
    <w:p w:rsidR="00064B96" w:rsidRPr="006B18A3" w:rsidRDefault="00DD33E6" w:rsidP="00287913">
      <w:pPr>
        <w:spacing w:after="0"/>
        <w:ind w:left="2160"/>
      </w:pPr>
      <w:r w:rsidRPr="006B18A3">
        <w:t>E</w:t>
      </w:r>
      <w:r w:rsidR="00287913" w:rsidRPr="006B18A3">
        <w:t>nergy labelling with a scale from A++ to G for flueless heaters and open to chimney heaters using solid fuels</w:t>
      </w:r>
    </w:p>
    <w:p w:rsidR="00287913" w:rsidRPr="006B18A3" w:rsidRDefault="00DD33E6" w:rsidP="00287913">
      <w:pPr>
        <w:spacing w:after="0"/>
        <w:ind w:left="2160"/>
      </w:pPr>
      <w:r w:rsidRPr="006B18A3">
        <w:t>E</w:t>
      </w:r>
      <w:r w:rsidR="00064B96" w:rsidRPr="006B18A3">
        <w:t xml:space="preserve">nd of transitional provision </w:t>
      </w:r>
      <w:r w:rsidR="00DF3260" w:rsidRPr="006B18A3">
        <w:t>under</w:t>
      </w:r>
      <w:r w:rsidR="00064B96" w:rsidRPr="006B18A3">
        <w:t xml:space="preserve"> article 8 stating that member states may allow the placing on the market and putting into service </w:t>
      </w:r>
      <w:r w:rsidR="00064B96" w:rsidRPr="006B18A3">
        <w:lastRenderedPageBreak/>
        <w:t xml:space="preserve">complying to the national provisions into </w:t>
      </w:r>
      <w:r w:rsidR="00DF3260" w:rsidRPr="006B18A3">
        <w:t>force at the time of</w:t>
      </w:r>
      <w:r w:rsidR="00064B96" w:rsidRPr="006B18A3">
        <w:t xml:space="preserve"> and </w:t>
      </w:r>
      <w:r w:rsidR="00DF3260" w:rsidRPr="006B18A3">
        <w:t xml:space="preserve">coming into force </w:t>
      </w:r>
      <w:r w:rsidR="00064B96" w:rsidRPr="006B18A3">
        <w:t xml:space="preserve">after the adoption of the </w:t>
      </w:r>
      <w:r w:rsidRPr="006B18A3">
        <w:t>E</w:t>
      </w:r>
      <w:r w:rsidR="00064B96" w:rsidRPr="006B18A3">
        <w:t xml:space="preserve">codesign </w:t>
      </w:r>
      <w:r w:rsidRPr="006B18A3">
        <w:t>R</w:t>
      </w:r>
      <w:r w:rsidR="00064B96" w:rsidRPr="006B18A3">
        <w:t>egulations</w:t>
      </w:r>
    </w:p>
    <w:p w:rsidR="00064B96" w:rsidRPr="006B18A3" w:rsidRDefault="00287913" w:rsidP="00287913">
      <w:pPr>
        <w:pStyle w:val="Liststycke"/>
        <w:numPr>
          <w:ilvl w:val="0"/>
          <w:numId w:val="10"/>
        </w:numPr>
        <w:spacing w:after="0"/>
      </w:pPr>
      <w:r w:rsidRPr="006B18A3">
        <w:t>01/01/2024:</w:t>
      </w:r>
      <w:r w:rsidRPr="006B18A3">
        <w:tab/>
        <w:t>Revision ecodesign requirements for solid fuel local space heaters</w:t>
      </w:r>
      <w:r w:rsidR="00064B96" w:rsidRPr="006B18A3">
        <w:t xml:space="preserve"> and </w:t>
      </w:r>
    </w:p>
    <w:p w:rsidR="00287913" w:rsidRPr="006B18A3" w:rsidRDefault="00064B96" w:rsidP="00064B96">
      <w:pPr>
        <w:spacing w:after="0"/>
        <w:ind w:left="1440" w:firstLine="720"/>
      </w:pPr>
      <w:r w:rsidRPr="006B18A3">
        <w:t>energy labelling regulation</w:t>
      </w:r>
    </w:p>
    <w:p w:rsidR="008E55AC" w:rsidRPr="009A732D" w:rsidRDefault="00DF3260" w:rsidP="009A732D">
      <w:pPr>
        <w:pStyle w:val="Rubrik1"/>
        <w:numPr>
          <w:ilvl w:val="1"/>
          <w:numId w:val="4"/>
        </w:numPr>
        <w:rPr>
          <w:i/>
          <w:sz w:val="28"/>
        </w:rPr>
      </w:pPr>
      <w:bookmarkStart w:id="26" w:name="_Toc479325695"/>
      <w:r w:rsidRPr="009A732D">
        <w:rPr>
          <w:i/>
          <w:sz w:val="28"/>
        </w:rPr>
        <w:t>Review</w:t>
      </w:r>
      <w:bookmarkEnd w:id="26"/>
    </w:p>
    <w:p w:rsidR="00DF3260" w:rsidRPr="009A732D" w:rsidRDefault="00DF3260" w:rsidP="009A732D">
      <w:pPr>
        <w:pStyle w:val="Rubrik1"/>
        <w:numPr>
          <w:ilvl w:val="2"/>
          <w:numId w:val="4"/>
        </w:numPr>
        <w:rPr>
          <w:sz w:val="24"/>
        </w:rPr>
      </w:pPr>
      <w:bookmarkStart w:id="27" w:name="_Toc479325696"/>
      <w:r w:rsidRPr="009A732D">
        <w:rPr>
          <w:sz w:val="24"/>
        </w:rPr>
        <w:t>Ecodesign local space heaters (EU) 2015/1188</w:t>
      </w:r>
      <w:bookmarkEnd w:id="27"/>
    </w:p>
    <w:p w:rsidR="00483F52" w:rsidRPr="006B18A3" w:rsidRDefault="00DF3260" w:rsidP="000C7ED1">
      <w:r w:rsidRPr="006B18A3">
        <w:t xml:space="preserve">A review of this regulation is foreseen in 2019. </w:t>
      </w:r>
    </w:p>
    <w:p w:rsidR="00DF3260" w:rsidRPr="006B18A3" w:rsidRDefault="00DF3260" w:rsidP="000C7ED1">
      <w:r w:rsidRPr="006B18A3">
        <w:t>The review shall assess:</w:t>
      </w:r>
    </w:p>
    <w:p w:rsidR="00DF3260" w:rsidRPr="006B18A3" w:rsidRDefault="00DF3260" w:rsidP="00DF3260">
      <w:pPr>
        <w:pStyle w:val="Liststycke"/>
        <w:numPr>
          <w:ilvl w:val="0"/>
          <w:numId w:val="10"/>
        </w:numPr>
      </w:pPr>
      <w:r w:rsidRPr="006B18A3">
        <w:t xml:space="preserve">The appropriateness of setting stricter requirements for energy efficiency and emissions of </w:t>
      </w:r>
      <w:r w:rsidR="00DD33E6" w:rsidRPr="006B18A3">
        <w:t>NO</w:t>
      </w:r>
      <w:r w:rsidR="00DD33E6" w:rsidRPr="006B18A3">
        <w:rPr>
          <w:vertAlign w:val="subscript"/>
        </w:rPr>
        <w:t>x</w:t>
      </w:r>
      <w:r w:rsidRPr="006B18A3">
        <w:t>;</w:t>
      </w:r>
    </w:p>
    <w:p w:rsidR="00DF3260" w:rsidRPr="006B18A3" w:rsidRDefault="00DF3260" w:rsidP="00DF3260">
      <w:pPr>
        <w:pStyle w:val="Liststycke"/>
        <w:numPr>
          <w:ilvl w:val="0"/>
          <w:numId w:val="10"/>
        </w:numPr>
      </w:pPr>
      <w:r w:rsidRPr="006B18A3">
        <w:t>The verification tolerances;</w:t>
      </w:r>
    </w:p>
    <w:p w:rsidR="00DF3260" w:rsidRPr="006B18A3" w:rsidRDefault="00DF3260" w:rsidP="00DF3260">
      <w:pPr>
        <w:pStyle w:val="Liststycke"/>
        <w:numPr>
          <w:ilvl w:val="0"/>
          <w:numId w:val="10"/>
        </w:numPr>
      </w:pPr>
      <w:r w:rsidRPr="006B18A3">
        <w:t>The validity of the correction factors used for assessing the seasonal space heating energy efficiency of local space heaters;</w:t>
      </w:r>
    </w:p>
    <w:p w:rsidR="00DF3260" w:rsidRPr="006B18A3" w:rsidRDefault="00DF3260" w:rsidP="00DF3260">
      <w:pPr>
        <w:pStyle w:val="Liststycke"/>
        <w:numPr>
          <w:ilvl w:val="0"/>
          <w:numId w:val="10"/>
        </w:numPr>
      </w:pPr>
      <w:r w:rsidRPr="006B18A3">
        <w:t xml:space="preserve">The appropriateness of introducing third party certification. </w:t>
      </w:r>
    </w:p>
    <w:p w:rsidR="00DF3260" w:rsidRPr="009A732D" w:rsidRDefault="00DF3260" w:rsidP="009A732D">
      <w:pPr>
        <w:pStyle w:val="Rubrik1"/>
        <w:numPr>
          <w:ilvl w:val="2"/>
          <w:numId w:val="4"/>
        </w:numPr>
        <w:rPr>
          <w:sz w:val="24"/>
        </w:rPr>
      </w:pPr>
      <w:bookmarkStart w:id="28" w:name="_Toc479325697"/>
      <w:r w:rsidRPr="009A732D">
        <w:rPr>
          <w:sz w:val="24"/>
        </w:rPr>
        <w:t>Ecodesign solid fuel local space heaters (EU) 2015/1185</w:t>
      </w:r>
      <w:bookmarkEnd w:id="28"/>
    </w:p>
    <w:p w:rsidR="00213ED5" w:rsidRPr="006B18A3" w:rsidRDefault="00DF3260" w:rsidP="00DF3260">
      <w:r w:rsidRPr="006B18A3">
        <w:t>A special</w:t>
      </w:r>
      <w:r w:rsidR="00213ED5" w:rsidRPr="006B18A3">
        <w:t xml:space="preserve"> review</w:t>
      </w:r>
      <w:r w:rsidRPr="006B18A3">
        <w:t xml:space="preserve"> to assess the </w:t>
      </w:r>
      <w:r w:rsidR="00213ED5" w:rsidRPr="006B18A3">
        <w:t>appropriateness</w:t>
      </w:r>
      <w:r w:rsidRPr="006B18A3">
        <w:t xml:space="preserve"> of </w:t>
      </w:r>
      <w:r w:rsidR="00213ED5" w:rsidRPr="006B18A3">
        <w:t>introducing a 3</w:t>
      </w:r>
      <w:r w:rsidR="00213ED5" w:rsidRPr="006B18A3">
        <w:rPr>
          <w:vertAlign w:val="superscript"/>
        </w:rPr>
        <w:t>rd</w:t>
      </w:r>
      <w:r w:rsidR="00213ED5" w:rsidRPr="006B18A3">
        <w:t xml:space="preserve"> party certification </w:t>
      </w:r>
      <w:r w:rsidRPr="006B18A3">
        <w:t xml:space="preserve">is foreseen </w:t>
      </w:r>
      <w:r w:rsidR="00213ED5" w:rsidRPr="006B18A3">
        <w:t>in 2018</w:t>
      </w:r>
      <w:r w:rsidR="006B18A3" w:rsidRPr="006B18A3">
        <w:t>. A</w:t>
      </w:r>
      <w:r w:rsidR="00213ED5" w:rsidRPr="006B18A3">
        <w:t xml:space="preserve"> full review of the regulation will follow in 2024. </w:t>
      </w:r>
    </w:p>
    <w:p w:rsidR="00213ED5" w:rsidRPr="006B18A3" w:rsidRDefault="00213ED5" w:rsidP="00DF3260">
      <w:r w:rsidRPr="006B18A3">
        <w:t xml:space="preserve">This </w:t>
      </w:r>
      <w:r w:rsidR="00DD33E6" w:rsidRPr="006B18A3">
        <w:t xml:space="preserve">full </w:t>
      </w:r>
      <w:r w:rsidRPr="006B18A3">
        <w:t>review shall assess:</w:t>
      </w:r>
    </w:p>
    <w:p w:rsidR="00213ED5" w:rsidRPr="006B18A3" w:rsidRDefault="00213ED5" w:rsidP="00213ED5">
      <w:pPr>
        <w:pStyle w:val="Liststycke"/>
        <w:numPr>
          <w:ilvl w:val="0"/>
          <w:numId w:val="11"/>
        </w:numPr>
      </w:pPr>
      <w:r w:rsidRPr="006B18A3">
        <w:t>The appropriateness of setting stricter requirements for energy efficiency, NO</w:t>
      </w:r>
      <w:r w:rsidRPr="006B18A3">
        <w:rPr>
          <w:vertAlign w:val="subscript"/>
        </w:rPr>
        <w:t>x</w:t>
      </w:r>
      <w:r w:rsidRPr="006B18A3">
        <w:t>, PM, CO and OGC;</w:t>
      </w:r>
    </w:p>
    <w:p w:rsidR="00213ED5" w:rsidRPr="006B18A3" w:rsidRDefault="00213ED5" w:rsidP="00213ED5">
      <w:pPr>
        <w:pStyle w:val="Liststycke"/>
        <w:numPr>
          <w:ilvl w:val="0"/>
          <w:numId w:val="11"/>
        </w:numPr>
      </w:pPr>
      <w:r w:rsidRPr="006B18A3">
        <w:t>The verification tolerances.</w:t>
      </w:r>
    </w:p>
    <w:p w:rsidR="00DF3260" w:rsidRPr="009A732D" w:rsidRDefault="00213ED5" w:rsidP="009A732D">
      <w:pPr>
        <w:pStyle w:val="Rubrik1"/>
        <w:numPr>
          <w:ilvl w:val="2"/>
          <w:numId w:val="4"/>
        </w:numPr>
        <w:rPr>
          <w:sz w:val="24"/>
        </w:rPr>
      </w:pPr>
      <w:bookmarkStart w:id="29" w:name="_Toc479325698"/>
      <w:r w:rsidRPr="009A732D">
        <w:rPr>
          <w:sz w:val="24"/>
        </w:rPr>
        <w:t>Energy labelling local space heaters</w:t>
      </w:r>
      <w:bookmarkEnd w:id="29"/>
      <w:r w:rsidRPr="009A732D">
        <w:rPr>
          <w:sz w:val="24"/>
        </w:rPr>
        <w:t xml:space="preserve"> </w:t>
      </w:r>
    </w:p>
    <w:p w:rsidR="00213ED5" w:rsidRPr="006B18A3" w:rsidRDefault="00213ED5" w:rsidP="00213ED5">
      <w:r w:rsidRPr="006B18A3">
        <w:t xml:space="preserve">A review of this regulation is foreseen in 2024. </w:t>
      </w:r>
    </w:p>
    <w:p w:rsidR="00213ED5" w:rsidRPr="006B18A3" w:rsidRDefault="00213ED5" w:rsidP="00213ED5">
      <w:r w:rsidRPr="006B18A3">
        <w:t xml:space="preserve">This review shall assess whether the exemptions can be reduced. </w:t>
      </w:r>
    </w:p>
    <w:p w:rsidR="00213ED5" w:rsidRPr="006B18A3" w:rsidRDefault="00213ED5" w:rsidP="00213ED5">
      <w:pPr>
        <w:pStyle w:val="Rubrik1"/>
      </w:pPr>
      <w:r w:rsidRPr="006B18A3">
        <w:t xml:space="preserve"> </w:t>
      </w:r>
      <w:bookmarkStart w:id="30" w:name="_Toc479325699"/>
      <w:r w:rsidRPr="006B18A3">
        <w:t>Key requirements</w:t>
      </w:r>
      <w:bookmarkEnd w:id="30"/>
      <w:r w:rsidRPr="006B18A3">
        <w:t xml:space="preserve"> </w:t>
      </w:r>
    </w:p>
    <w:p w:rsidR="00213ED5" w:rsidRPr="009A732D" w:rsidRDefault="00213ED5" w:rsidP="00B669D2">
      <w:pPr>
        <w:pStyle w:val="Rubrik1"/>
        <w:numPr>
          <w:ilvl w:val="1"/>
          <w:numId w:val="4"/>
        </w:numPr>
        <w:rPr>
          <w:i/>
          <w:sz w:val="28"/>
        </w:rPr>
      </w:pPr>
      <w:bookmarkStart w:id="31" w:name="_Toc475364794"/>
      <w:bookmarkStart w:id="32" w:name="_Toc475428959"/>
      <w:bookmarkStart w:id="33" w:name="_Toc475456353"/>
      <w:bookmarkStart w:id="34" w:name="_Toc475456372"/>
      <w:bookmarkStart w:id="35" w:name="_Toc479324628"/>
      <w:bookmarkStart w:id="36" w:name="_Toc479325700"/>
      <w:bookmarkStart w:id="37" w:name="_Toc479325701"/>
      <w:bookmarkEnd w:id="31"/>
      <w:bookmarkEnd w:id="32"/>
      <w:bookmarkEnd w:id="33"/>
      <w:bookmarkEnd w:id="34"/>
      <w:bookmarkEnd w:id="35"/>
      <w:bookmarkEnd w:id="36"/>
      <w:r w:rsidRPr="009A732D">
        <w:rPr>
          <w:i/>
          <w:sz w:val="28"/>
        </w:rPr>
        <w:t>Ecodesign requirements</w:t>
      </w:r>
      <w:bookmarkEnd w:id="37"/>
      <w:r w:rsidRPr="009A732D">
        <w:rPr>
          <w:i/>
          <w:sz w:val="28"/>
        </w:rPr>
        <w:t xml:space="preserve"> </w:t>
      </w:r>
    </w:p>
    <w:p w:rsidR="00DD33E6" w:rsidRPr="006B18A3" w:rsidRDefault="00213ED5" w:rsidP="00213ED5">
      <w:r w:rsidRPr="006B18A3">
        <w:t xml:space="preserve">For local space heaters the seasonal space heating efficiency is the key parameter. </w:t>
      </w:r>
    </w:p>
    <w:p w:rsidR="00130FD2" w:rsidRPr="006B18A3" w:rsidRDefault="00DD33E6" w:rsidP="00213ED5">
      <w:r w:rsidRPr="006B18A3">
        <w:t>H</w:t>
      </w:r>
      <w:r w:rsidR="00213ED5" w:rsidRPr="006B18A3">
        <w:t xml:space="preserve">eating demand is not constant over the </w:t>
      </w:r>
      <w:r w:rsidR="00DA73EE" w:rsidRPr="006B18A3">
        <w:t>year</w:t>
      </w:r>
      <w:r w:rsidR="00952C62" w:rsidRPr="006B18A3">
        <w:t xml:space="preserve">. To reflect these seasonal differences, the part load behaviour is taken into account in the seasonal space heating energy efficiency </w:t>
      </w:r>
      <w:r w:rsidR="00DA73EE" w:rsidRPr="006B18A3">
        <w:t>f</w:t>
      </w:r>
      <w:r w:rsidR="00130FD2" w:rsidRPr="006B18A3">
        <w:t>or commercial local space heaters, except for electric commercial local space heaters</w:t>
      </w:r>
      <w:r w:rsidR="00952C62" w:rsidRPr="006B18A3">
        <w:t xml:space="preserve">. </w:t>
      </w:r>
      <w:r w:rsidR="00DA73EE" w:rsidRPr="006B18A3">
        <w:t xml:space="preserve">For </w:t>
      </w:r>
      <w:r w:rsidR="00130FD2" w:rsidRPr="006B18A3">
        <w:t xml:space="preserve">all </w:t>
      </w:r>
      <w:r w:rsidR="00DA73EE" w:rsidRPr="006B18A3">
        <w:t xml:space="preserve">the </w:t>
      </w:r>
      <w:r w:rsidR="00130FD2" w:rsidRPr="006B18A3">
        <w:t>other local space heaters</w:t>
      </w:r>
      <w:r w:rsidR="00DA73EE" w:rsidRPr="006B18A3">
        <w:t>,</w:t>
      </w:r>
      <w:r w:rsidR="00130FD2" w:rsidRPr="006B18A3">
        <w:t xml:space="preserve"> only the useful efficiency at nominal heat output is considered</w:t>
      </w:r>
      <w:r w:rsidR="008E0764" w:rsidRPr="006B18A3">
        <w:t xml:space="preserve"> in the seasonal space heating energy efficiency</w:t>
      </w:r>
      <w:r w:rsidR="00130FD2" w:rsidRPr="006B18A3">
        <w:t>.</w:t>
      </w:r>
      <w:r w:rsidR="00BB4209" w:rsidRPr="006B18A3">
        <w:t xml:space="preserve"> The energy efficiency requirements are technology specific and in some cases </w:t>
      </w:r>
      <w:r w:rsidR="008E0764" w:rsidRPr="006B18A3">
        <w:t xml:space="preserve">fuel and </w:t>
      </w:r>
      <w:r w:rsidR="00BB4209" w:rsidRPr="006B18A3">
        <w:t xml:space="preserve">size dependent. </w:t>
      </w:r>
    </w:p>
    <w:p w:rsidR="00130FD2" w:rsidRPr="006B18A3" w:rsidRDefault="00130FD2" w:rsidP="00213ED5">
      <w:r w:rsidRPr="006B18A3">
        <w:t>In addition to the energy efficiency criteria, the regulation defines additional compliance criteria aimed at reducing other relevant environmental impacts, including:</w:t>
      </w:r>
    </w:p>
    <w:p w:rsidR="00213ED5" w:rsidRPr="00567FFD" w:rsidRDefault="00C00FEA" w:rsidP="00BB4209">
      <w:pPr>
        <w:pStyle w:val="Liststycke"/>
        <w:numPr>
          <w:ilvl w:val="0"/>
          <w:numId w:val="13"/>
        </w:numPr>
      </w:pPr>
      <w:r w:rsidRPr="006B18A3">
        <w:lastRenderedPageBreak/>
        <w:t>NO</w:t>
      </w:r>
      <w:r w:rsidRPr="006B18A3">
        <w:rPr>
          <w:vertAlign w:val="subscript"/>
        </w:rPr>
        <w:t>x</w:t>
      </w:r>
      <w:r w:rsidR="00BB4209" w:rsidRPr="006B18A3">
        <w:t xml:space="preserve"> emissions for fuel</w:t>
      </w:r>
      <w:r w:rsidR="006B18A3">
        <w:t>-</w:t>
      </w:r>
      <w:r w:rsidR="00BB4209" w:rsidRPr="006B18A3">
        <w:t>based local space heaters;</w:t>
      </w:r>
    </w:p>
    <w:p w:rsidR="00BB4209" w:rsidRPr="006B18A3" w:rsidRDefault="00C00FEA" w:rsidP="00BB4209">
      <w:pPr>
        <w:pStyle w:val="Liststycke"/>
        <w:numPr>
          <w:ilvl w:val="0"/>
          <w:numId w:val="13"/>
        </w:numPr>
      </w:pPr>
      <w:r w:rsidRPr="00620766">
        <w:t>PM</w:t>
      </w:r>
      <w:r w:rsidR="00BB4209" w:rsidRPr="006B18A3">
        <w:t xml:space="preserve">, </w:t>
      </w:r>
      <w:r w:rsidRPr="006B18A3">
        <w:t>OGC</w:t>
      </w:r>
      <w:r w:rsidR="00BB4209" w:rsidRPr="006B18A3">
        <w:t xml:space="preserve"> emissions</w:t>
      </w:r>
      <w:r w:rsidRPr="006B18A3">
        <w:t xml:space="preserve"> and</w:t>
      </w:r>
      <w:r w:rsidR="00BB4209" w:rsidRPr="006B18A3">
        <w:t xml:space="preserve"> </w:t>
      </w:r>
      <w:r w:rsidRPr="006B18A3">
        <w:t>CO</w:t>
      </w:r>
      <w:r w:rsidR="00BB4209" w:rsidRPr="006B18A3">
        <w:t xml:space="preserve"> </w:t>
      </w:r>
      <w:r w:rsidRPr="006B18A3">
        <w:t xml:space="preserve">emissions </w:t>
      </w:r>
      <w:r w:rsidR="00BB4209" w:rsidRPr="006B18A3">
        <w:t>for solid fuel local space heaters.</w:t>
      </w:r>
    </w:p>
    <w:p w:rsidR="00BB4209" w:rsidRPr="006B18A3" w:rsidRDefault="00BB4209" w:rsidP="00BB4209">
      <w:r w:rsidRPr="006B18A3">
        <w:t xml:space="preserve">For </w:t>
      </w:r>
      <w:r w:rsidR="003F1CC5" w:rsidRPr="006B18A3">
        <w:t>NO</w:t>
      </w:r>
      <w:r w:rsidR="003F1CC5" w:rsidRPr="006B18A3">
        <w:rPr>
          <w:vertAlign w:val="subscript"/>
        </w:rPr>
        <w:t>x</w:t>
      </w:r>
      <w:r w:rsidRPr="006B18A3">
        <w:t xml:space="preserve"> emissions</w:t>
      </w:r>
      <w:r w:rsidR="00D0208B" w:rsidRPr="006B18A3">
        <w:t xml:space="preserve"> the requirements are technology dependent. </w:t>
      </w:r>
      <w:r w:rsidR="003F1CC5" w:rsidRPr="006B18A3">
        <w:t>F</w:t>
      </w:r>
      <w:r w:rsidRPr="006B18A3">
        <w:t xml:space="preserve">or </w:t>
      </w:r>
      <w:r w:rsidR="003F1CC5" w:rsidRPr="006B18A3">
        <w:t xml:space="preserve">gaseous and liquid fuel </w:t>
      </w:r>
      <w:r w:rsidRPr="006B18A3">
        <w:t>local space heaters</w:t>
      </w:r>
      <w:r w:rsidR="003F1CC5" w:rsidRPr="006B18A3">
        <w:t xml:space="preserve">, the regulation </w:t>
      </w:r>
      <w:r w:rsidRPr="006B18A3">
        <w:t>prescribe</w:t>
      </w:r>
      <w:r w:rsidR="00D0208B" w:rsidRPr="006B18A3">
        <w:t>s</w:t>
      </w:r>
      <w:r w:rsidRPr="006B18A3">
        <w:t xml:space="preserve"> emission levels in relation to the </w:t>
      </w:r>
      <w:r w:rsidR="00705461" w:rsidRPr="006B18A3">
        <w:t xml:space="preserve">fuel input expressed in </w:t>
      </w:r>
      <w:r w:rsidRPr="006B18A3">
        <w:t>mg NO</w:t>
      </w:r>
      <w:r w:rsidR="003F1CC5" w:rsidRPr="006B18A3">
        <w:rPr>
          <w:vertAlign w:val="subscript"/>
        </w:rPr>
        <w:t>2</w:t>
      </w:r>
      <w:r w:rsidRPr="006B18A3">
        <w:rPr>
          <w:vertAlign w:val="subscript"/>
        </w:rPr>
        <w:t>,equivalent</w:t>
      </w:r>
      <w:r w:rsidR="003F1CC5" w:rsidRPr="006B18A3">
        <w:rPr>
          <w:vertAlign w:val="subscript"/>
        </w:rPr>
        <w:t xml:space="preserve"> </w:t>
      </w:r>
      <w:r w:rsidRPr="006B18A3">
        <w:t>/</w:t>
      </w:r>
      <w:r w:rsidR="003F1CC5" w:rsidRPr="006B18A3">
        <w:t xml:space="preserve"> </w:t>
      </w:r>
      <w:r w:rsidRPr="006B18A3">
        <w:t>kWh</w:t>
      </w:r>
      <w:r w:rsidRPr="006B18A3">
        <w:rPr>
          <w:vertAlign w:val="subscript"/>
        </w:rPr>
        <w:t>input</w:t>
      </w:r>
      <w:r w:rsidRPr="006B18A3">
        <w:t xml:space="preserve">; </w:t>
      </w:r>
      <w:r w:rsidR="003F1CC5" w:rsidRPr="006B18A3">
        <w:t>f</w:t>
      </w:r>
      <w:r w:rsidRPr="006B18A3">
        <w:t>or the solid fuel l</w:t>
      </w:r>
      <w:r w:rsidR="00D0208B" w:rsidRPr="006B18A3">
        <w:t xml:space="preserve">ocal space heaters </w:t>
      </w:r>
      <w:r w:rsidR="003F1CC5" w:rsidRPr="006B18A3">
        <w:t xml:space="preserve">the regulation </w:t>
      </w:r>
      <w:r w:rsidR="00D0208B" w:rsidRPr="006B18A3">
        <w:t xml:space="preserve">prescribes emission </w:t>
      </w:r>
      <w:r w:rsidR="00705461" w:rsidRPr="006B18A3">
        <w:t xml:space="preserve">content in flue gas expressed in </w:t>
      </w:r>
      <w:r w:rsidR="00D0208B" w:rsidRPr="006B18A3">
        <w:t>mg</w:t>
      </w:r>
      <w:r w:rsidR="003F1CC5" w:rsidRPr="006B18A3">
        <w:t xml:space="preserve"> </w:t>
      </w:r>
      <w:r w:rsidR="00D0208B" w:rsidRPr="006B18A3">
        <w:t>NO</w:t>
      </w:r>
      <w:r w:rsidR="00D0208B" w:rsidRPr="006B18A3">
        <w:rPr>
          <w:vertAlign w:val="subscript"/>
        </w:rPr>
        <w:t>2,equivalent</w:t>
      </w:r>
      <w:r w:rsidR="00705461" w:rsidRPr="006B18A3">
        <w:t>/m³</w:t>
      </w:r>
      <w:r w:rsidR="00D0208B" w:rsidRPr="006B18A3">
        <w:t xml:space="preserve">. </w:t>
      </w:r>
    </w:p>
    <w:p w:rsidR="00D0208B" w:rsidRPr="006B18A3" w:rsidRDefault="003F1CC5" w:rsidP="00BB4209">
      <w:r w:rsidRPr="006B18A3">
        <w:t>P</w:t>
      </w:r>
      <w:r w:rsidR="00D0208B" w:rsidRPr="006B18A3">
        <w:t>articulate matter</w:t>
      </w:r>
      <w:r w:rsidRPr="006B18A3">
        <w:t xml:space="preserve"> emission of the solid fuel local space heaters is expressed </w:t>
      </w:r>
      <w:r w:rsidR="00705461" w:rsidRPr="006B18A3">
        <w:t>in mg</w:t>
      </w:r>
      <w:r w:rsidRPr="006B18A3">
        <w:t xml:space="preserve"> PM </w:t>
      </w:r>
      <w:r w:rsidR="00705461" w:rsidRPr="006B18A3">
        <w:t>/m³ or g</w:t>
      </w:r>
      <w:r w:rsidRPr="006B18A3">
        <w:t xml:space="preserve"> PM</w:t>
      </w:r>
      <w:r w:rsidR="00705461" w:rsidRPr="006B18A3">
        <w:t xml:space="preserve">/kg, depending on the selected measurement method. Requirements are technology dependent. </w:t>
      </w:r>
    </w:p>
    <w:p w:rsidR="00705461" w:rsidRPr="006B18A3" w:rsidRDefault="00705461" w:rsidP="00BB4209">
      <w:r w:rsidRPr="006B18A3">
        <w:t>For organic gaseous compounds</w:t>
      </w:r>
      <w:r w:rsidR="00023E9A" w:rsidRPr="006B18A3">
        <w:t xml:space="preserve"> and carbon monoxide</w:t>
      </w:r>
      <w:r w:rsidR="003F1CC5" w:rsidRPr="006B18A3">
        <w:t xml:space="preserve"> emissions of solid fuel local space heaters</w:t>
      </w:r>
      <w:r w:rsidRPr="006B18A3">
        <w:t>, the emissions levels are expressed in mg</w:t>
      </w:r>
      <w:r w:rsidR="003F1CC5" w:rsidRPr="006B18A3">
        <w:t xml:space="preserve"> OGC </w:t>
      </w:r>
      <w:r w:rsidRPr="006B18A3">
        <w:t>/</w:t>
      </w:r>
      <w:r w:rsidR="003F1CC5" w:rsidRPr="006B18A3">
        <w:t xml:space="preserve"> m³ and</w:t>
      </w:r>
      <w:r w:rsidR="00023E9A" w:rsidRPr="006B18A3">
        <w:t xml:space="preserve"> mg</w:t>
      </w:r>
      <w:r w:rsidR="003F1CC5" w:rsidRPr="006B18A3">
        <w:t xml:space="preserve"> </w:t>
      </w:r>
      <w:r w:rsidR="00023E9A" w:rsidRPr="006B18A3">
        <w:t>CO</w:t>
      </w:r>
      <w:r w:rsidR="003F1CC5" w:rsidRPr="006B18A3">
        <w:t xml:space="preserve"> </w:t>
      </w:r>
      <w:r w:rsidR="00023E9A" w:rsidRPr="006B18A3">
        <w:t xml:space="preserve">/m³ respectively </w:t>
      </w:r>
      <w:r w:rsidRPr="006B18A3">
        <w:t>and are technology and</w:t>
      </w:r>
      <w:r w:rsidR="00023E9A" w:rsidRPr="006B18A3">
        <w:t>/or</w:t>
      </w:r>
      <w:r w:rsidRPr="006B18A3">
        <w:t xml:space="preserve"> fuel dependent. </w:t>
      </w:r>
    </w:p>
    <w:p w:rsidR="00023E9A" w:rsidRPr="006B18A3" w:rsidRDefault="00023E9A" w:rsidP="00BB4209">
      <w:r w:rsidRPr="006B18A3">
        <w:t>The following table gives an overview of the criteria to be fulfilled as well as the dates on which these criteria come into force.</w:t>
      </w:r>
    </w:p>
    <w:tbl>
      <w:tblPr>
        <w:tblStyle w:val="Tabellrutnt"/>
        <w:tblW w:w="5000" w:type="pct"/>
        <w:tblLook w:val="04A0" w:firstRow="1" w:lastRow="0" w:firstColumn="1" w:lastColumn="0" w:noHBand="0" w:noVBand="1"/>
      </w:tblPr>
      <w:tblGrid>
        <w:gridCol w:w="2575"/>
        <w:gridCol w:w="1341"/>
        <w:gridCol w:w="1343"/>
        <w:gridCol w:w="1343"/>
        <w:gridCol w:w="1343"/>
        <w:gridCol w:w="1343"/>
      </w:tblGrid>
      <w:tr w:rsidR="00A46A41" w:rsidRPr="006B18A3" w:rsidTr="00A46A41">
        <w:tc>
          <w:tcPr>
            <w:tcW w:w="1386" w:type="pct"/>
          </w:tcPr>
          <w:p w:rsidR="0092599C" w:rsidRPr="006B18A3" w:rsidRDefault="00023E9A" w:rsidP="00A46A41">
            <w:pPr>
              <w:spacing w:after="0"/>
              <w:jc w:val="center"/>
              <w:rPr>
                <w:sz w:val="22"/>
              </w:rPr>
            </w:pPr>
            <w:r w:rsidRPr="006B18A3">
              <w:t xml:space="preserve">  </w:t>
            </w:r>
          </w:p>
        </w:tc>
        <w:tc>
          <w:tcPr>
            <w:tcW w:w="722" w:type="pct"/>
          </w:tcPr>
          <w:p w:rsidR="0092599C" w:rsidRPr="006B18A3" w:rsidRDefault="0092599C" w:rsidP="00A46A41">
            <w:pPr>
              <w:spacing w:after="0"/>
              <w:jc w:val="center"/>
              <w:rPr>
                <w:b/>
                <w:sz w:val="22"/>
              </w:rPr>
            </w:pPr>
            <w:r w:rsidRPr="006B18A3">
              <w:rPr>
                <w:b/>
                <w:sz w:val="22"/>
              </w:rPr>
              <w:t>Space heating energy efficiency</w:t>
            </w:r>
          </w:p>
        </w:tc>
        <w:tc>
          <w:tcPr>
            <w:tcW w:w="723" w:type="pct"/>
          </w:tcPr>
          <w:p w:rsidR="0092599C" w:rsidRPr="006B18A3" w:rsidRDefault="0092599C" w:rsidP="00A46A41">
            <w:pPr>
              <w:spacing w:after="0"/>
              <w:jc w:val="center"/>
              <w:rPr>
                <w:b/>
                <w:sz w:val="22"/>
              </w:rPr>
            </w:pPr>
            <w:r w:rsidRPr="006B18A3">
              <w:rPr>
                <w:b/>
                <w:sz w:val="22"/>
              </w:rPr>
              <w:t>Emissions of nitrogen oxides</w:t>
            </w:r>
          </w:p>
        </w:tc>
        <w:tc>
          <w:tcPr>
            <w:tcW w:w="723" w:type="pct"/>
          </w:tcPr>
          <w:p w:rsidR="0092599C" w:rsidRPr="006B18A3" w:rsidRDefault="0092599C" w:rsidP="00A46A41">
            <w:pPr>
              <w:spacing w:after="0"/>
              <w:jc w:val="center"/>
              <w:rPr>
                <w:b/>
                <w:sz w:val="22"/>
              </w:rPr>
            </w:pPr>
            <w:r w:rsidRPr="006B18A3">
              <w:rPr>
                <w:b/>
                <w:sz w:val="22"/>
              </w:rPr>
              <w:t>Emissions of particulate matter</w:t>
            </w:r>
          </w:p>
        </w:tc>
        <w:tc>
          <w:tcPr>
            <w:tcW w:w="723" w:type="pct"/>
          </w:tcPr>
          <w:p w:rsidR="0092599C" w:rsidRPr="006B18A3" w:rsidRDefault="0092599C" w:rsidP="00A46A41">
            <w:pPr>
              <w:spacing w:after="0"/>
              <w:jc w:val="center"/>
              <w:rPr>
                <w:b/>
                <w:sz w:val="22"/>
              </w:rPr>
            </w:pPr>
            <w:r w:rsidRPr="006B18A3">
              <w:rPr>
                <w:b/>
                <w:sz w:val="22"/>
              </w:rPr>
              <w:t>Emissions of organic gaseous compounds</w:t>
            </w:r>
          </w:p>
        </w:tc>
        <w:tc>
          <w:tcPr>
            <w:tcW w:w="723" w:type="pct"/>
          </w:tcPr>
          <w:p w:rsidR="0092599C" w:rsidRPr="006B18A3" w:rsidRDefault="0092599C" w:rsidP="00A46A41">
            <w:pPr>
              <w:spacing w:after="0"/>
              <w:jc w:val="center"/>
              <w:rPr>
                <w:b/>
                <w:sz w:val="22"/>
              </w:rPr>
            </w:pPr>
            <w:r w:rsidRPr="006B18A3">
              <w:rPr>
                <w:b/>
                <w:sz w:val="22"/>
              </w:rPr>
              <w:t>Emissions of carbon monoxide</w:t>
            </w:r>
          </w:p>
        </w:tc>
      </w:tr>
      <w:tr w:rsidR="00A46A41" w:rsidRPr="006B18A3" w:rsidTr="00A46A41">
        <w:tc>
          <w:tcPr>
            <w:tcW w:w="1386" w:type="pct"/>
          </w:tcPr>
          <w:p w:rsidR="00A46A41" w:rsidRPr="006B18A3" w:rsidRDefault="00A46A41" w:rsidP="00A46A41">
            <w:pPr>
              <w:spacing w:after="0"/>
              <w:jc w:val="left"/>
              <w:rPr>
                <w:b/>
                <w:sz w:val="22"/>
              </w:rPr>
            </w:pPr>
            <w:r w:rsidRPr="006B18A3">
              <w:rPr>
                <w:b/>
                <w:sz w:val="22"/>
              </w:rPr>
              <w:t>TIER I Local space heaters</w:t>
            </w:r>
          </w:p>
        </w:tc>
        <w:tc>
          <w:tcPr>
            <w:tcW w:w="722" w:type="pct"/>
          </w:tcPr>
          <w:p w:rsidR="00A46A41" w:rsidRPr="006B18A3" w:rsidRDefault="00A46A41" w:rsidP="00A46A41">
            <w:pPr>
              <w:spacing w:after="0"/>
              <w:jc w:val="center"/>
              <w:rPr>
                <w:sz w:val="22"/>
              </w:rPr>
            </w:pPr>
            <w:r w:rsidRPr="006B18A3">
              <w:rPr>
                <w:sz w:val="22"/>
              </w:rPr>
              <w:t>01/01/2018</w:t>
            </w:r>
          </w:p>
        </w:tc>
        <w:tc>
          <w:tcPr>
            <w:tcW w:w="723" w:type="pct"/>
          </w:tcPr>
          <w:p w:rsidR="00A46A41" w:rsidRPr="006B18A3" w:rsidRDefault="00A46A41" w:rsidP="00A46A41">
            <w:pPr>
              <w:spacing w:after="0"/>
              <w:jc w:val="center"/>
              <w:rPr>
                <w:sz w:val="22"/>
              </w:rPr>
            </w:pPr>
            <w:r w:rsidRPr="006B18A3">
              <w:rPr>
                <w:sz w:val="22"/>
              </w:rPr>
              <w:t>01/01/2018</w:t>
            </w:r>
          </w:p>
        </w:tc>
        <w:tc>
          <w:tcPr>
            <w:tcW w:w="723" w:type="pct"/>
          </w:tcPr>
          <w:p w:rsidR="00A46A41" w:rsidRPr="006B18A3" w:rsidRDefault="00A46A41" w:rsidP="00A46A41">
            <w:pPr>
              <w:spacing w:after="0"/>
              <w:jc w:val="center"/>
              <w:rPr>
                <w:sz w:val="22"/>
              </w:rPr>
            </w:pPr>
          </w:p>
        </w:tc>
        <w:tc>
          <w:tcPr>
            <w:tcW w:w="723" w:type="pct"/>
          </w:tcPr>
          <w:p w:rsidR="00A46A41" w:rsidRPr="006B18A3" w:rsidRDefault="00A46A41" w:rsidP="00A46A41">
            <w:pPr>
              <w:spacing w:after="0"/>
              <w:jc w:val="center"/>
              <w:rPr>
                <w:sz w:val="22"/>
              </w:rPr>
            </w:pPr>
          </w:p>
        </w:tc>
        <w:tc>
          <w:tcPr>
            <w:tcW w:w="723" w:type="pct"/>
          </w:tcPr>
          <w:p w:rsidR="00A46A41" w:rsidRPr="006B18A3" w:rsidRDefault="00A46A41" w:rsidP="00A46A41">
            <w:pPr>
              <w:spacing w:after="0"/>
              <w:jc w:val="center"/>
              <w:rPr>
                <w:sz w:val="22"/>
              </w:rPr>
            </w:pPr>
          </w:p>
        </w:tc>
      </w:tr>
      <w:tr w:rsidR="00A46A41" w:rsidRPr="006B18A3" w:rsidTr="00A46A41">
        <w:tc>
          <w:tcPr>
            <w:tcW w:w="1386" w:type="pct"/>
          </w:tcPr>
          <w:p w:rsidR="00A46A41" w:rsidRPr="006B18A3" w:rsidRDefault="00A46A41" w:rsidP="003F1CC5">
            <w:pPr>
              <w:spacing w:after="0"/>
              <w:jc w:val="left"/>
              <w:rPr>
                <w:b/>
                <w:sz w:val="22"/>
              </w:rPr>
            </w:pPr>
            <w:r w:rsidRPr="006B18A3">
              <w:rPr>
                <w:b/>
                <w:sz w:val="22"/>
              </w:rPr>
              <w:t xml:space="preserve">TIER I </w:t>
            </w:r>
            <w:r w:rsidR="003F1CC5" w:rsidRPr="006B18A3">
              <w:rPr>
                <w:b/>
                <w:sz w:val="22"/>
              </w:rPr>
              <w:t>S</w:t>
            </w:r>
            <w:r w:rsidRPr="006B18A3">
              <w:rPr>
                <w:b/>
                <w:sz w:val="22"/>
              </w:rPr>
              <w:t>olid fuel local space heaters</w:t>
            </w:r>
          </w:p>
        </w:tc>
        <w:tc>
          <w:tcPr>
            <w:tcW w:w="722" w:type="pct"/>
          </w:tcPr>
          <w:p w:rsidR="00A46A41" w:rsidRPr="006B18A3" w:rsidRDefault="00A46A41" w:rsidP="00A46A41">
            <w:pPr>
              <w:spacing w:after="0"/>
              <w:jc w:val="center"/>
              <w:rPr>
                <w:sz w:val="22"/>
              </w:rPr>
            </w:pPr>
            <w:r w:rsidRPr="006B18A3">
              <w:rPr>
                <w:sz w:val="22"/>
              </w:rPr>
              <w:t>01/01/2022</w:t>
            </w:r>
          </w:p>
        </w:tc>
        <w:tc>
          <w:tcPr>
            <w:tcW w:w="723" w:type="pct"/>
          </w:tcPr>
          <w:p w:rsidR="00A46A41" w:rsidRPr="006B18A3" w:rsidRDefault="00A46A41" w:rsidP="00A46A41">
            <w:pPr>
              <w:spacing w:after="0"/>
              <w:jc w:val="center"/>
              <w:rPr>
                <w:sz w:val="22"/>
              </w:rPr>
            </w:pPr>
            <w:r w:rsidRPr="006B18A3">
              <w:rPr>
                <w:sz w:val="22"/>
              </w:rPr>
              <w:t>01/01/2022</w:t>
            </w:r>
          </w:p>
        </w:tc>
        <w:tc>
          <w:tcPr>
            <w:tcW w:w="723" w:type="pct"/>
          </w:tcPr>
          <w:p w:rsidR="00A46A41" w:rsidRPr="006B18A3" w:rsidRDefault="00A46A41" w:rsidP="00A46A41">
            <w:pPr>
              <w:spacing w:after="0"/>
              <w:jc w:val="center"/>
              <w:rPr>
                <w:sz w:val="22"/>
              </w:rPr>
            </w:pPr>
            <w:r w:rsidRPr="006B18A3">
              <w:rPr>
                <w:sz w:val="22"/>
              </w:rPr>
              <w:t>01/01/2022</w:t>
            </w:r>
          </w:p>
        </w:tc>
        <w:tc>
          <w:tcPr>
            <w:tcW w:w="723" w:type="pct"/>
          </w:tcPr>
          <w:p w:rsidR="00A46A41" w:rsidRPr="006B18A3" w:rsidRDefault="00A46A41" w:rsidP="00A46A41">
            <w:pPr>
              <w:spacing w:after="0"/>
              <w:jc w:val="center"/>
              <w:rPr>
                <w:sz w:val="22"/>
              </w:rPr>
            </w:pPr>
            <w:r w:rsidRPr="006B18A3">
              <w:rPr>
                <w:sz w:val="22"/>
              </w:rPr>
              <w:t>01/01/2022</w:t>
            </w:r>
          </w:p>
        </w:tc>
        <w:tc>
          <w:tcPr>
            <w:tcW w:w="723" w:type="pct"/>
          </w:tcPr>
          <w:p w:rsidR="00A46A41" w:rsidRPr="006B18A3" w:rsidRDefault="00A46A41" w:rsidP="00A46A41">
            <w:pPr>
              <w:spacing w:after="0"/>
              <w:jc w:val="center"/>
              <w:rPr>
                <w:sz w:val="22"/>
              </w:rPr>
            </w:pPr>
            <w:r w:rsidRPr="006B18A3">
              <w:rPr>
                <w:sz w:val="22"/>
              </w:rPr>
              <w:t>01/01/2022</w:t>
            </w:r>
          </w:p>
        </w:tc>
      </w:tr>
      <w:tr w:rsidR="00A46A41" w:rsidRPr="006B18A3" w:rsidTr="00A46A41">
        <w:tc>
          <w:tcPr>
            <w:tcW w:w="1386" w:type="pct"/>
          </w:tcPr>
          <w:p w:rsidR="0092599C" w:rsidRPr="006B18A3" w:rsidRDefault="008A16BD" w:rsidP="008A16BD">
            <w:pPr>
              <w:spacing w:after="0"/>
              <w:jc w:val="left"/>
              <w:rPr>
                <w:b/>
                <w:sz w:val="22"/>
              </w:rPr>
            </w:pPr>
            <w:r w:rsidRPr="006B18A3">
              <w:rPr>
                <w:b/>
                <w:sz w:val="22"/>
              </w:rPr>
              <w:t xml:space="preserve">Gaseous fuel </w:t>
            </w:r>
            <w:r w:rsidR="00A46A41" w:rsidRPr="006B18A3">
              <w:rPr>
                <w:b/>
                <w:sz w:val="22"/>
              </w:rPr>
              <w:t xml:space="preserve">local space heaters </w:t>
            </w:r>
          </w:p>
        </w:tc>
        <w:tc>
          <w:tcPr>
            <w:tcW w:w="722" w:type="pct"/>
            <w:shd w:val="clear" w:color="auto" w:fill="A6A6A6" w:themeFill="background1" w:themeFillShade="A6"/>
          </w:tcPr>
          <w:p w:rsidR="0092599C" w:rsidRPr="006B18A3" w:rsidRDefault="0092599C" w:rsidP="00A46A41">
            <w:pPr>
              <w:spacing w:after="0"/>
              <w:jc w:val="center"/>
              <w:rPr>
                <w:sz w:val="22"/>
              </w:rPr>
            </w:pPr>
          </w:p>
        </w:tc>
        <w:tc>
          <w:tcPr>
            <w:tcW w:w="723" w:type="pct"/>
            <w:shd w:val="clear" w:color="auto" w:fill="A6A6A6" w:themeFill="background1" w:themeFillShade="A6"/>
          </w:tcPr>
          <w:p w:rsidR="0092599C" w:rsidRPr="006B18A3" w:rsidRDefault="0092599C" w:rsidP="00A46A41">
            <w:pPr>
              <w:spacing w:after="0"/>
              <w:jc w:val="center"/>
              <w:rPr>
                <w:sz w:val="22"/>
              </w:rPr>
            </w:pPr>
          </w:p>
        </w:tc>
        <w:tc>
          <w:tcPr>
            <w:tcW w:w="723" w:type="pct"/>
          </w:tcPr>
          <w:p w:rsidR="0092599C" w:rsidRPr="006B18A3" w:rsidRDefault="0092599C" w:rsidP="00A46A41">
            <w:pPr>
              <w:spacing w:after="0"/>
              <w:jc w:val="center"/>
              <w:rPr>
                <w:sz w:val="22"/>
              </w:rPr>
            </w:pPr>
          </w:p>
        </w:tc>
        <w:tc>
          <w:tcPr>
            <w:tcW w:w="723" w:type="pct"/>
          </w:tcPr>
          <w:p w:rsidR="0092599C" w:rsidRPr="006B18A3" w:rsidRDefault="0092599C" w:rsidP="00A46A41">
            <w:pPr>
              <w:spacing w:after="0"/>
              <w:jc w:val="center"/>
              <w:rPr>
                <w:sz w:val="22"/>
              </w:rPr>
            </w:pPr>
          </w:p>
        </w:tc>
        <w:tc>
          <w:tcPr>
            <w:tcW w:w="723" w:type="pct"/>
          </w:tcPr>
          <w:p w:rsidR="0092599C" w:rsidRPr="006B18A3" w:rsidRDefault="0092599C" w:rsidP="00A46A41">
            <w:pPr>
              <w:spacing w:after="0"/>
              <w:jc w:val="center"/>
              <w:rPr>
                <w:sz w:val="22"/>
              </w:rPr>
            </w:pPr>
          </w:p>
        </w:tc>
      </w:tr>
      <w:tr w:rsidR="00A46A41" w:rsidRPr="006B18A3" w:rsidTr="00A46A41">
        <w:tc>
          <w:tcPr>
            <w:tcW w:w="1386" w:type="pct"/>
          </w:tcPr>
          <w:p w:rsidR="0092599C" w:rsidRPr="006B18A3" w:rsidRDefault="008A16BD" w:rsidP="008A16BD">
            <w:pPr>
              <w:spacing w:after="0"/>
              <w:jc w:val="left"/>
              <w:rPr>
                <w:b/>
                <w:sz w:val="22"/>
              </w:rPr>
            </w:pPr>
            <w:r w:rsidRPr="006B18A3">
              <w:rPr>
                <w:b/>
                <w:sz w:val="22"/>
              </w:rPr>
              <w:t xml:space="preserve">Liquid fuel </w:t>
            </w:r>
            <w:r w:rsidR="00A46A41" w:rsidRPr="006B18A3">
              <w:rPr>
                <w:b/>
                <w:sz w:val="22"/>
              </w:rPr>
              <w:t xml:space="preserve">local space heaters </w:t>
            </w:r>
          </w:p>
        </w:tc>
        <w:tc>
          <w:tcPr>
            <w:tcW w:w="722" w:type="pct"/>
            <w:shd w:val="clear" w:color="auto" w:fill="A6A6A6" w:themeFill="background1" w:themeFillShade="A6"/>
          </w:tcPr>
          <w:p w:rsidR="0092599C" w:rsidRPr="006B18A3" w:rsidRDefault="0092599C" w:rsidP="00A46A41">
            <w:pPr>
              <w:spacing w:after="0"/>
              <w:jc w:val="center"/>
              <w:rPr>
                <w:sz w:val="22"/>
              </w:rPr>
            </w:pPr>
          </w:p>
        </w:tc>
        <w:tc>
          <w:tcPr>
            <w:tcW w:w="723" w:type="pct"/>
            <w:shd w:val="clear" w:color="auto" w:fill="A6A6A6" w:themeFill="background1" w:themeFillShade="A6"/>
          </w:tcPr>
          <w:p w:rsidR="0092599C" w:rsidRPr="006B18A3" w:rsidRDefault="0092599C" w:rsidP="00A46A41">
            <w:pPr>
              <w:spacing w:after="0"/>
              <w:jc w:val="center"/>
              <w:rPr>
                <w:sz w:val="22"/>
              </w:rPr>
            </w:pPr>
          </w:p>
        </w:tc>
        <w:tc>
          <w:tcPr>
            <w:tcW w:w="723" w:type="pct"/>
            <w:shd w:val="clear" w:color="auto" w:fill="auto"/>
          </w:tcPr>
          <w:p w:rsidR="0092599C" w:rsidRPr="006B18A3" w:rsidRDefault="0092599C" w:rsidP="00A46A41">
            <w:pPr>
              <w:spacing w:after="0"/>
              <w:jc w:val="center"/>
              <w:rPr>
                <w:sz w:val="22"/>
              </w:rPr>
            </w:pPr>
          </w:p>
        </w:tc>
        <w:tc>
          <w:tcPr>
            <w:tcW w:w="723" w:type="pct"/>
            <w:shd w:val="clear" w:color="auto" w:fill="auto"/>
          </w:tcPr>
          <w:p w:rsidR="0092599C" w:rsidRPr="006B18A3" w:rsidRDefault="0092599C" w:rsidP="00A46A41">
            <w:pPr>
              <w:spacing w:after="0"/>
              <w:jc w:val="center"/>
              <w:rPr>
                <w:sz w:val="22"/>
              </w:rPr>
            </w:pPr>
          </w:p>
        </w:tc>
        <w:tc>
          <w:tcPr>
            <w:tcW w:w="723" w:type="pct"/>
            <w:shd w:val="clear" w:color="auto" w:fill="auto"/>
          </w:tcPr>
          <w:p w:rsidR="0092599C" w:rsidRPr="006B18A3" w:rsidRDefault="0092599C" w:rsidP="00A46A41">
            <w:pPr>
              <w:spacing w:after="0"/>
              <w:jc w:val="center"/>
              <w:rPr>
                <w:sz w:val="22"/>
              </w:rPr>
            </w:pPr>
          </w:p>
        </w:tc>
      </w:tr>
      <w:tr w:rsidR="00A46A41" w:rsidRPr="006B18A3" w:rsidTr="00A46A41">
        <w:tc>
          <w:tcPr>
            <w:tcW w:w="1386" w:type="pct"/>
          </w:tcPr>
          <w:p w:rsidR="00A46A41" w:rsidRPr="006B18A3" w:rsidRDefault="00A46A41" w:rsidP="008A16BD">
            <w:pPr>
              <w:spacing w:after="0"/>
              <w:jc w:val="left"/>
              <w:rPr>
                <w:b/>
                <w:sz w:val="22"/>
              </w:rPr>
            </w:pPr>
            <w:r w:rsidRPr="006B18A3">
              <w:rPr>
                <w:b/>
                <w:sz w:val="22"/>
              </w:rPr>
              <w:t>Electric local space heaters</w:t>
            </w:r>
          </w:p>
        </w:tc>
        <w:tc>
          <w:tcPr>
            <w:tcW w:w="722" w:type="pct"/>
            <w:shd w:val="clear" w:color="auto" w:fill="A6A6A6" w:themeFill="background1" w:themeFillShade="A6"/>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r>
      <w:tr w:rsidR="00A46A41" w:rsidRPr="006B18A3" w:rsidTr="00A46A41">
        <w:tc>
          <w:tcPr>
            <w:tcW w:w="1386" w:type="pct"/>
          </w:tcPr>
          <w:p w:rsidR="00A46A41" w:rsidRPr="006B18A3" w:rsidRDefault="008A16BD" w:rsidP="009E1928">
            <w:pPr>
              <w:spacing w:after="0"/>
              <w:jc w:val="left"/>
              <w:rPr>
                <w:b/>
                <w:sz w:val="22"/>
              </w:rPr>
            </w:pPr>
            <w:r w:rsidRPr="006B18A3">
              <w:rPr>
                <w:b/>
                <w:sz w:val="22"/>
              </w:rPr>
              <w:t>S</w:t>
            </w:r>
            <w:r w:rsidR="00A46A41" w:rsidRPr="006B18A3">
              <w:rPr>
                <w:b/>
                <w:sz w:val="22"/>
              </w:rPr>
              <w:t xml:space="preserve">olid fuel </w:t>
            </w:r>
            <w:r w:rsidR="009E1928" w:rsidRPr="006B18A3">
              <w:rPr>
                <w:b/>
                <w:sz w:val="22"/>
              </w:rPr>
              <w:t xml:space="preserve">local </w:t>
            </w:r>
            <w:r w:rsidR="00A46A41" w:rsidRPr="006B18A3">
              <w:rPr>
                <w:b/>
                <w:sz w:val="22"/>
              </w:rPr>
              <w:t xml:space="preserve">space heaters </w:t>
            </w:r>
          </w:p>
        </w:tc>
        <w:tc>
          <w:tcPr>
            <w:tcW w:w="722" w:type="pct"/>
            <w:shd w:val="clear" w:color="auto" w:fill="A6A6A6" w:themeFill="background1" w:themeFillShade="A6"/>
          </w:tcPr>
          <w:p w:rsidR="00A46A41" w:rsidRPr="006B18A3" w:rsidRDefault="00A46A41" w:rsidP="00A46A41">
            <w:pPr>
              <w:spacing w:after="0"/>
              <w:jc w:val="center"/>
              <w:rPr>
                <w:sz w:val="22"/>
              </w:rPr>
            </w:pPr>
          </w:p>
        </w:tc>
        <w:tc>
          <w:tcPr>
            <w:tcW w:w="723" w:type="pct"/>
            <w:shd w:val="clear" w:color="auto" w:fill="A6A6A6" w:themeFill="background1" w:themeFillShade="A6"/>
          </w:tcPr>
          <w:p w:rsidR="00A46A41" w:rsidRPr="006B18A3" w:rsidRDefault="00A46A41" w:rsidP="00A46A41">
            <w:pPr>
              <w:spacing w:after="0"/>
              <w:jc w:val="center"/>
              <w:rPr>
                <w:sz w:val="22"/>
              </w:rPr>
            </w:pPr>
          </w:p>
        </w:tc>
        <w:tc>
          <w:tcPr>
            <w:tcW w:w="723" w:type="pct"/>
            <w:shd w:val="clear" w:color="auto" w:fill="A6A6A6" w:themeFill="background1" w:themeFillShade="A6"/>
          </w:tcPr>
          <w:p w:rsidR="00A46A41" w:rsidRPr="006B18A3" w:rsidRDefault="00A46A41" w:rsidP="00A46A41">
            <w:pPr>
              <w:spacing w:after="0"/>
              <w:jc w:val="center"/>
              <w:rPr>
                <w:sz w:val="22"/>
              </w:rPr>
            </w:pPr>
          </w:p>
        </w:tc>
        <w:tc>
          <w:tcPr>
            <w:tcW w:w="723" w:type="pct"/>
            <w:shd w:val="clear" w:color="auto" w:fill="A6A6A6" w:themeFill="background1" w:themeFillShade="A6"/>
          </w:tcPr>
          <w:p w:rsidR="00A46A41" w:rsidRPr="006B18A3" w:rsidRDefault="00A46A41" w:rsidP="00A46A41">
            <w:pPr>
              <w:spacing w:after="0"/>
              <w:jc w:val="center"/>
              <w:rPr>
                <w:sz w:val="22"/>
              </w:rPr>
            </w:pPr>
          </w:p>
        </w:tc>
        <w:tc>
          <w:tcPr>
            <w:tcW w:w="723" w:type="pct"/>
            <w:shd w:val="clear" w:color="auto" w:fill="A6A6A6" w:themeFill="background1" w:themeFillShade="A6"/>
          </w:tcPr>
          <w:p w:rsidR="00A46A41" w:rsidRPr="006B18A3" w:rsidRDefault="00A46A41" w:rsidP="00A46A41">
            <w:pPr>
              <w:spacing w:after="0"/>
              <w:jc w:val="center"/>
              <w:rPr>
                <w:sz w:val="22"/>
              </w:rPr>
            </w:pPr>
          </w:p>
        </w:tc>
      </w:tr>
      <w:tr w:rsidR="00A46A41" w:rsidRPr="006B18A3" w:rsidTr="009E1928">
        <w:tc>
          <w:tcPr>
            <w:tcW w:w="1386" w:type="pct"/>
          </w:tcPr>
          <w:p w:rsidR="00A46A41" w:rsidRPr="006B18A3" w:rsidRDefault="00A46A41" w:rsidP="00A46A41">
            <w:pPr>
              <w:spacing w:after="0"/>
              <w:jc w:val="left"/>
              <w:rPr>
                <w:b/>
                <w:sz w:val="22"/>
              </w:rPr>
            </w:pPr>
            <w:r w:rsidRPr="006B18A3">
              <w:rPr>
                <w:b/>
                <w:sz w:val="22"/>
              </w:rPr>
              <w:t>Cookers</w:t>
            </w:r>
          </w:p>
        </w:tc>
        <w:tc>
          <w:tcPr>
            <w:tcW w:w="722" w:type="pct"/>
            <w:shd w:val="clear" w:color="auto" w:fill="A6A6A6" w:themeFill="background1" w:themeFillShade="A6"/>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c>
          <w:tcPr>
            <w:tcW w:w="723" w:type="pct"/>
            <w:shd w:val="clear" w:color="auto" w:fill="auto"/>
          </w:tcPr>
          <w:p w:rsidR="00A46A41" w:rsidRPr="006B18A3" w:rsidRDefault="00A46A41" w:rsidP="00A46A41">
            <w:pPr>
              <w:spacing w:after="0"/>
              <w:jc w:val="center"/>
              <w:rPr>
                <w:sz w:val="22"/>
              </w:rPr>
            </w:pPr>
          </w:p>
        </w:tc>
      </w:tr>
    </w:tbl>
    <w:p w:rsidR="00023E9A" w:rsidRPr="006B18A3" w:rsidRDefault="00023E9A" w:rsidP="00BB4209"/>
    <w:p w:rsidR="00A46A41" w:rsidRPr="009A732D" w:rsidRDefault="006B18A3" w:rsidP="00B669D2">
      <w:pPr>
        <w:pStyle w:val="Rubrik1"/>
        <w:numPr>
          <w:ilvl w:val="1"/>
          <w:numId w:val="4"/>
        </w:numPr>
        <w:rPr>
          <w:i/>
          <w:sz w:val="28"/>
        </w:rPr>
      </w:pPr>
      <w:bookmarkStart w:id="38" w:name="_Toc479325702"/>
      <w:r w:rsidRPr="009A732D">
        <w:rPr>
          <w:i/>
          <w:sz w:val="28"/>
        </w:rPr>
        <w:t>Energy l</w:t>
      </w:r>
      <w:r w:rsidR="009E1928" w:rsidRPr="009A732D">
        <w:rPr>
          <w:i/>
          <w:sz w:val="28"/>
        </w:rPr>
        <w:t>abelling requirements</w:t>
      </w:r>
      <w:bookmarkEnd w:id="38"/>
      <w:r w:rsidR="009E1928" w:rsidRPr="009A732D">
        <w:rPr>
          <w:i/>
          <w:sz w:val="28"/>
        </w:rPr>
        <w:t xml:space="preserve"> </w:t>
      </w:r>
    </w:p>
    <w:p w:rsidR="009E1928" w:rsidRPr="006B18A3" w:rsidRDefault="009E1928" w:rsidP="009E1928">
      <w:r w:rsidRPr="006B18A3">
        <w:t>The</w:t>
      </w:r>
      <w:r w:rsidR="006B18A3">
        <w:t xml:space="preserve"> energy</w:t>
      </w:r>
      <w:r w:rsidRPr="006B18A3">
        <w:t xml:space="preserve"> labelling requirements address manufacturers as well as dealers to ensure correct and consistent use of the label throughout the supply chain. </w:t>
      </w:r>
    </w:p>
    <w:p w:rsidR="009E1928" w:rsidRPr="006B18A3" w:rsidRDefault="00F73E81" w:rsidP="009E1928">
      <w:r w:rsidRPr="00620766">
        <w:t>The energy labelling</w:t>
      </w:r>
      <w:r w:rsidR="006B18A3">
        <w:t xml:space="preserve"> requirements</w:t>
      </w:r>
      <w:r w:rsidRPr="006B18A3">
        <w:t xml:space="preserve"> coming into force in January 2018 will go from A++ to G. In addition, the ecodesign requirements will render the lowest scoring products obsolete. </w:t>
      </w:r>
    </w:p>
    <w:p w:rsidR="00F73E81" w:rsidRPr="00620766" w:rsidRDefault="00F73E81" w:rsidP="009E1928">
      <w:r w:rsidRPr="00620766">
        <w:t>From January 2018, manufacturers have to consider following issues regarding labelling information:</w:t>
      </w:r>
    </w:p>
    <w:p w:rsidR="00F73E81" w:rsidRPr="006B18A3" w:rsidRDefault="00F73E81" w:rsidP="00F73E81">
      <w:pPr>
        <w:pStyle w:val="Liststycke"/>
        <w:numPr>
          <w:ilvl w:val="0"/>
          <w:numId w:val="14"/>
        </w:numPr>
      </w:pPr>
      <w:r w:rsidRPr="006B18A3">
        <w:t xml:space="preserve">For each local space heater in scope, a printed label in accordance with the regulation has to be provided. </w:t>
      </w:r>
    </w:p>
    <w:p w:rsidR="00F73E81" w:rsidRPr="006B18A3" w:rsidRDefault="00F73E81" w:rsidP="00F73E81">
      <w:pPr>
        <w:pStyle w:val="Liststycke"/>
        <w:numPr>
          <w:ilvl w:val="0"/>
          <w:numId w:val="14"/>
        </w:numPr>
      </w:pPr>
      <w:r w:rsidRPr="006B18A3">
        <w:lastRenderedPageBreak/>
        <w:t xml:space="preserve">A product fiche has to be provided. This product fiche shall be included in the product brochure or other literature provided with the </w:t>
      </w:r>
      <w:r w:rsidR="006B18A3">
        <w:t>product</w:t>
      </w:r>
      <w:r w:rsidRPr="006B18A3">
        <w:t xml:space="preserve">. </w:t>
      </w:r>
    </w:p>
    <w:p w:rsidR="00F73E81" w:rsidRPr="006B18A3" w:rsidRDefault="00F73E81" w:rsidP="00F73E81">
      <w:pPr>
        <w:pStyle w:val="Liststycke"/>
        <w:numPr>
          <w:ilvl w:val="0"/>
          <w:numId w:val="14"/>
        </w:numPr>
      </w:pPr>
      <w:r w:rsidRPr="006B18A3">
        <w:t xml:space="preserve">Technical documentation in accordance with the regulation has to be provided to the Commission or to the market surveillance authorities on request. </w:t>
      </w:r>
    </w:p>
    <w:p w:rsidR="00F73E81" w:rsidRPr="00620766" w:rsidRDefault="00F73E81" w:rsidP="00F73E81">
      <w:pPr>
        <w:pStyle w:val="Liststycke"/>
        <w:numPr>
          <w:ilvl w:val="0"/>
          <w:numId w:val="14"/>
        </w:numPr>
      </w:pPr>
      <w:r w:rsidRPr="00620766">
        <w:t>Product advertisements are required to reference the seasonal space heating energy efficiency class.</w:t>
      </w:r>
    </w:p>
    <w:p w:rsidR="00F73E81" w:rsidRPr="00620766" w:rsidRDefault="003405C6" w:rsidP="00F73E81">
      <w:pPr>
        <w:pStyle w:val="Liststycke"/>
        <w:numPr>
          <w:ilvl w:val="0"/>
          <w:numId w:val="14"/>
        </w:numPr>
      </w:pPr>
      <w:r>
        <w:t>S</w:t>
      </w:r>
      <w:r w:rsidR="00A97460">
        <w:t xml:space="preserve">uppliers </w:t>
      </w:r>
      <w:r w:rsidR="00F73E81" w:rsidRPr="006B18A3">
        <w:t>must make the label and the fiche available to dealers in electronic format for each mo</w:t>
      </w:r>
      <w:r w:rsidR="00F73E81" w:rsidRPr="00620766">
        <w:t xml:space="preserve">del. </w:t>
      </w:r>
    </w:p>
    <w:p w:rsidR="00F73E81" w:rsidRPr="006B18A3" w:rsidRDefault="00F73E81" w:rsidP="00F73E81">
      <w:r w:rsidRPr="006B18A3">
        <w:t>The obligations for the dealer are:</w:t>
      </w:r>
    </w:p>
    <w:p w:rsidR="00F73E81" w:rsidRPr="006B18A3" w:rsidRDefault="00F73E81" w:rsidP="00F73E81">
      <w:pPr>
        <w:pStyle w:val="Liststycke"/>
        <w:numPr>
          <w:ilvl w:val="0"/>
          <w:numId w:val="15"/>
        </w:numPr>
      </w:pPr>
      <w:r w:rsidRPr="006B18A3">
        <w:t xml:space="preserve">At the point of sale, each local space heater on display shall be equipped with the respective printed energy label. </w:t>
      </w:r>
    </w:p>
    <w:p w:rsidR="00F73E81" w:rsidRPr="00620766" w:rsidRDefault="00F73E81" w:rsidP="00F73E81">
      <w:pPr>
        <w:pStyle w:val="Liststycke"/>
        <w:numPr>
          <w:ilvl w:val="0"/>
          <w:numId w:val="15"/>
        </w:numPr>
      </w:pPr>
      <w:r w:rsidRPr="006B18A3">
        <w:t xml:space="preserve">Products marketed without </w:t>
      </w:r>
      <w:r w:rsidR="006B18A3">
        <w:t>t</w:t>
      </w:r>
      <w:r w:rsidRPr="006B18A3">
        <w:t>he end use</w:t>
      </w:r>
      <w:r w:rsidR="006B18A3">
        <w:t>r</w:t>
      </w:r>
      <w:r w:rsidRPr="006B18A3">
        <w:t xml:space="preserve"> being able to see the label shall be accompanied with the relevant information laid down in the product fiche by the manufacturer</w:t>
      </w:r>
    </w:p>
    <w:p w:rsidR="00F73E81" w:rsidRPr="006B18A3" w:rsidRDefault="00F73E81" w:rsidP="00F73E81">
      <w:pPr>
        <w:pStyle w:val="Liststycke"/>
        <w:numPr>
          <w:ilvl w:val="0"/>
          <w:numId w:val="15"/>
        </w:numPr>
      </w:pPr>
      <w:r w:rsidRPr="006B18A3">
        <w:t>Advertisements are required to reference the seasonal space heating energy efficiency class.</w:t>
      </w:r>
    </w:p>
    <w:p w:rsidR="00F73E81" w:rsidRPr="006B18A3" w:rsidRDefault="00F73E81" w:rsidP="00F73E81">
      <w:pPr>
        <w:pStyle w:val="Liststycke"/>
        <w:numPr>
          <w:ilvl w:val="0"/>
          <w:numId w:val="15"/>
        </w:numPr>
      </w:pPr>
      <w:r w:rsidRPr="006B18A3">
        <w:t xml:space="preserve">Technical promotional material is also required to reference the seasonal </w:t>
      </w:r>
      <w:r w:rsidR="006B18A3">
        <w:t xml:space="preserve">space </w:t>
      </w:r>
      <w:r w:rsidRPr="006B18A3">
        <w:t xml:space="preserve">heating energy efficiency class. </w:t>
      </w:r>
    </w:p>
    <w:p w:rsidR="00F73E81" w:rsidRPr="00620766" w:rsidRDefault="00F73E81" w:rsidP="00F73E81">
      <w:pPr>
        <w:pStyle w:val="Liststycke"/>
        <w:numPr>
          <w:ilvl w:val="0"/>
          <w:numId w:val="15"/>
        </w:numPr>
      </w:pPr>
      <w:r w:rsidRPr="006B18A3">
        <w:t xml:space="preserve">For selling through the internet, dealers must show the label and the fiche, made available in electronic format by the manufacturer. </w:t>
      </w:r>
    </w:p>
    <w:p w:rsidR="00F73E81" w:rsidRPr="006B18A3" w:rsidRDefault="004F7D93" w:rsidP="00F73E81">
      <w:r w:rsidRPr="006B18A3">
        <w:t>The d</w:t>
      </w:r>
      <w:r w:rsidR="00AD565C" w:rsidRPr="006B18A3">
        <w:t>ealer</w:t>
      </w:r>
      <w:r w:rsidRPr="006B18A3">
        <w:t>s</w:t>
      </w:r>
      <w:r w:rsidR="00AD565C" w:rsidRPr="006B18A3">
        <w:t xml:space="preserve"> must be provided with the label and the additional information by the </w:t>
      </w:r>
      <w:r w:rsidR="00A97460">
        <w:t>supplier</w:t>
      </w:r>
      <w:r w:rsidR="00AD565C" w:rsidRPr="006B18A3">
        <w:t xml:space="preserve"> in such a way that </w:t>
      </w:r>
      <w:r w:rsidR="006B18A3">
        <w:t>they are</w:t>
      </w:r>
      <w:r w:rsidR="00AD565C" w:rsidRPr="006B18A3">
        <w:t xml:space="preserve"> able to provide the necessary information to customers. The technical parameters to be communicated are defined in Annex V </w:t>
      </w:r>
      <w:r w:rsidRPr="006B18A3">
        <w:t>and Annex II of the E</w:t>
      </w:r>
      <w:r w:rsidR="00AD565C" w:rsidRPr="006B18A3">
        <w:t xml:space="preserve">codesign </w:t>
      </w:r>
      <w:r w:rsidRPr="006B18A3">
        <w:t>R</w:t>
      </w:r>
      <w:r w:rsidR="00AD565C" w:rsidRPr="006B18A3">
        <w:t>egulation</w:t>
      </w:r>
      <w:r w:rsidRPr="006B18A3">
        <w:t xml:space="preserve"> for local space heaters and solid fuel local space heaters respectively; and Annex V of the Energy Labelling regulation</w:t>
      </w:r>
      <w:r w:rsidR="00AD565C" w:rsidRPr="00620766">
        <w:t xml:space="preserve">. </w:t>
      </w:r>
    </w:p>
    <w:p w:rsidR="00467977" w:rsidRPr="006B18A3" w:rsidRDefault="00467977" w:rsidP="0069539B">
      <w:pPr>
        <w:pStyle w:val="Rubrik1"/>
        <w:spacing w:after="240"/>
      </w:pPr>
      <w:bookmarkStart w:id="39" w:name="_Toc479249789"/>
      <w:bookmarkStart w:id="40" w:name="_Toc479325703"/>
      <w:r w:rsidRPr="006B18A3">
        <w:t xml:space="preserve">Measurements and calculations, the Relationship between the regulations, the </w:t>
      </w:r>
      <w:r w:rsidR="00567FFD">
        <w:t>C</w:t>
      </w:r>
      <w:r w:rsidRPr="00567FFD">
        <w:t>ommission communication (2017/C 076/02)</w:t>
      </w:r>
      <w:r w:rsidRPr="00620766">
        <w:t xml:space="preserve"> and </w:t>
      </w:r>
      <w:r w:rsidRPr="006B18A3">
        <w:t>harmonised standards</w:t>
      </w:r>
      <w:bookmarkEnd w:id="39"/>
      <w:bookmarkEnd w:id="40"/>
    </w:p>
    <w:p w:rsidR="00467977" w:rsidRPr="00567FFD" w:rsidRDefault="00467977" w:rsidP="00467977">
      <w:r w:rsidRPr="006B18A3">
        <w:t xml:space="preserve">For purposes of </w:t>
      </w:r>
      <w:r w:rsidR="00567FFD">
        <w:t>conformity assessment</w:t>
      </w:r>
      <w:r w:rsidR="00567FFD" w:rsidRPr="00567FFD">
        <w:t xml:space="preserve"> </w:t>
      </w:r>
      <w:r w:rsidRPr="00567FFD">
        <w:t xml:space="preserve">and verification of compliance, measurements and calculations shall </w:t>
      </w:r>
      <w:r w:rsidR="00567FFD">
        <w:t xml:space="preserve">preferably </w:t>
      </w:r>
      <w:r w:rsidRPr="00567FFD">
        <w:t xml:space="preserve">be done by using harmonised standards. </w:t>
      </w:r>
    </w:p>
    <w:p w:rsidR="00467977" w:rsidRPr="00567FFD" w:rsidRDefault="00467977" w:rsidP="00467977">
      <w:r w:rsidRPr="00620766">
        <w:t>If the reference numbers of the standards have not been published i</w:t>
      </w:r>
      <w:r w:rsidRPr="006B18A3">
        <w:t xml:space="preserve">n the Official Journal of the European Union, the standards have not been recognised by the European Commission as </w:t>
      </w:r>
      <w:r w:rsidR="00567FFD">
        <w:t>providing presumption of conformity with the Regulations</w:t>
      </w:r>
      <w:r w:rsidRPr="00567FFD">
        <w:t>. In that case, the regulation</w:t>
      </w:r>
      <w:r w:rsidR="00567FFD">
        <w:t>s</w:t>
      </w:r>
      <w:r w:rsidRPr="00567FFD">
        <w:t xml:space="preserve"> ha</w:t>
      </w:r>
      <w:r w:rsidR="00567FFD">
        <w:t>ve</w:t>
      </w:r>
      <w:r w:rsidRPr="00567FFD">
        <w:t xml:space="preserve"> to be applied in combination with the Commission </w:t>
      </w:r>
      <w:r w:rsidR="00567FFD">
        <w:t>c</w:t>
      </w:r>
      <w:r w:rsidRPr="00567FFD">
        <w:t xml:space="preserve">ommunications, </w:t>
      </w:r>
      <w:r w:rsidR="00567FFD">
        <w:t>also</w:t>
      </w:r>
      <w:r w:rsidR="00567FFD" w:rsidRPr="00567FFD">
        <w:t xml:space="preserve"> </w:t>
      </w:r>
      <w:r w:rsidRPr="00567FFD">
        <w:t xml:space="preserve">referred to as the transitional methods. </w:t>
      </w:r>
    </w:p>
    <w:p w:rsidR="00467977" w:rsidRPr="00620766" w:rsidRDefault="00467977" w:rsidP="00467977">
      <w:r w:rsidRPr="00567FFD">
        <w:t xml:space="preserve">In case the Commission </w:t>
      </w:r>
      <w:r w:rsidR="00567FFD">
        <w:t>c</w:t>
      </w:r>
      <w:r w:rsidRPr="00567FFD">
        <w:t>ommunication and/or the standard contradict the regulation, the regulation prevails.</w:t>
      </w:r>
    </w:p>
    <w:p w:rsidR="00AD565C" w:rsidRPr="006B18A3" w:rsidRDefault="00AD565C" w:rsidP="00E75A8A">
      <w:pPr>
        <w:pStyle w:val="Rubrik1"/>
        <w:spacing w:after="240"/>
      </w:pPr>
      <w:bookmarkStart w:id="41" w:name="_Toc479325704"/>
      <w:r w:rsidRPr="006B18A3">
        <w:lastRenderedPageBreak/>
        <w:t>Frequently asked questions</w:t>
      </w:r>
      <w:bookmarkEnd w:id="41"/>
    </w:p>
    <w:p w:rsidR="00E75A8A" w:rsidRPr="006B18A3" w:rsidRDefault="00E75A8A" w:rsidP="00E75A8A">
      <w:pPr>
        <w:rPr>
          <w:b/>
          <w:i/>
        </w:rPr>
      </w:pPr>
      <w:r w:rsidRPr="006B18A3">
        <w:rPr>
          <w:b/>
          <w:i/>
        </w:rPr>
        <w:t>Use and obligations regarding the label</w:t>
      </w:r>
    </w:p>
    <w:p w:rsidR="00E75A8A" w:rsidRPr="006B18A3" w:rsidRDefault="00E75A8A" w:rsidP="00E75A8A">
      <w:pPr>
        <w:pStyle w:val="Liststycke"/>
        <w:numPr>
          <w:ilvl w:val="0"/>
          <w:numId w:val="22"/>
        </w:numPr>
        <w:contextualSpacing w:val="0"/>
        <w:rPr>
          <w:b/>
          <w:i/>
        </w:rPr>
      </w:pPr>
      <w:r w:rsidRPr="006B18A3">
        <w:rPr>
          <w:b/>
          <w:i/>
        </w:rPr>
        <w:t>Is voluntary application of the label before the official introduction admitted? How to ensure uniform application in the EU?</w:t>
      </w:r>
    </w:p>
    <w:p w:rsidR="00E75A8A" w:rsidRPr="00567FFD" w:rsidRDefault="00E75A8A" w:rsidP="00E75A8A">
      <w:pPr>
        <w:ind w:left="360"/>
        <w:rPr>
          <w:rFonts w:eastAsia="Batang"/>
          <w:lang w:eastAsia="de-DE"/>
        </w:rPr>
      </w:pPr>
      <w:r w:rsidRPr="006B18A3">
        <w:rPr>
          <w:rFonts w:eastAsia="Batang"/>
          <w:lang w:eastAsia="de-DE"/>
        </w:rPr>
        <w:t xml:space="preserve">Voluntary application of the label before the official implementation date is not allowed under the Energy Labelling Directive which establishes that the supply and subsequent display of a label before the date specified in a delegated act falls under "unauthorized use" of the label, which is defined in Article 2(k) of Directive </w:t>
      </w:r>
      <w:r w:rsidR="00567FFD">
        <w:rPr>
          <w:rFonts w:eastAsia="Batang"/>
          <w:lang w:eastAsia="de-DE"/>
        </w:rPr>
        <w:t xml:space="preserve">2010/30/EU </w:t>
      </w:r>
      <w:r w:rsidRPr="00567FFD">
        <w:rPr>
          <w:rFonts w:eastAsia="Batang"/>
          <w:lang w:eastAsia="de-DE"/>
        </w:rPr>
        <w:t>as the use of the label, other than by Member State authorities or EU institutions, in a manner not provided for in the Directive or in a delegated act. Delegated acts specify the date from which a particular label shall be supplied. If it is supplied and subsequently displayed before that date</w:t>
      </w:r>
      <w:r w:rsidR="00567FFD">
        <w:rPr>
          <w:rFonts w:eastAsia="Batang"/>
          <w:lang w:eastAsia="de-DE"/>
        </w:rPr>
        <w:t>,</w:t>
      </w:r>
      <w:r w:rsidRPr="00567FFD">
        <w:rPr>
          <w:rFonts w:eastAsia="Batang"/>
          <w:lang w:eastAsia="de-DE"/>
        </w:rPr>
        <w:t xml:space="preserve"> the label is thus used in a manner not provided for in the delegated act.</w:t>
      </w:r>
    </w:p>
    <w:p w:rsidR="00E75A8A" w:rsidRPr="006B18A3" w:rsidRDefault="00E75A8A" w:rsidP="00E75A8A">
      <w:pPr>
        <w:ind w:left="360"/>
        <w:rPr>
          <w:rFonts w:eastAsia="Batang"/>
          <w:b/>
          <w:bCs/>
        </w:rPr>
      </w:pPr>
      <w:r w:rsidRPr="00620766">
        <w:rPr>
          <w:rFonts w:eastAsia="Batang"/>
          <w:lang w:eastAsia="de-DE"/>
        </w:rPr>
        <w:t>Label classes (e.g. A</w:t>
      </w:r>
      <w:r w:rsidRPr="006B18A3">
        <w:rPr>
          <w:rFonts w:eastAsia="Batang"/>
          <w:vertAlign w:val="superscript"/>
          <w:lang w:eastAsia="de-DE"/>
        </w:rPr>
        <w:t>+++</w:t>
      </w:r>
      <w:r w:rsidRPr="006B18A3">
        <w:rPr>
          <w:rFonts w:eastAsia="Batang"/>
          <w:lang w:eastAsia="de-DE"/>
        </w:rPr>
        <w:t>), that are subject to further regulatory measures, must not be used before the date of coming into force of that specific label.</w:t>
      </w:r>
    </w:p>
    <w:p w:rsidR="00E75A8A" w:rsidRPr="006B18A3" w:rsidRDefault="00E75A8A" w:rsidP="00E75A8A">
      <w:pPr>
        <w:ind w:left="360"/>
      </w:pPr>
      <w:r w:rsidRPr="006B18A3">
        <w:rPr>
          <w:rFonts w:eastAsia="Batang"/>
          <w:lang w:eastAsia="de-DE"/>
        </w:rPr>
        <w:t>It is to be recognised that manufacturers need time to prepare for the coming into force of the requirements. In this respect, the Commission services would not recommend market surveillance authorities to take actions against a manufacturer providing the label through its distribution chain a reasonable amount of time before the date of application of the requirements (i.e. 1 January 2018).</w:t>
      </w:r>
    </w:p>
    <w:p w:rsidR="00E75A8A" w:rsidRPr="006B18A3" w:rsidRDefault="00E75A8A" w:rsidP="00E75A8A">
      <w:pPr>
        <w:pStyle w:val="Liststycke"/>
        <w:numPr>
          <w:ilvl w:val="0"/>
          <w:numId w:val="22"/>
        </w:numPr>
        <w:contextualSpacing w:val="0"/>
        <w:rPr>
          <w:b/>
          <w:i/>
        </w:rPr>
      </w:pPr>
      <w:r w:rsidRPr="006B18A3">
        <w:rPr>
          <w:b/>
          <w:i/>
        </w:rPr>
        <w:t>Can the energy label be displayed before application at trade fairs, where products are not sold and end-users do not have access (the fairs are only for professional intermediates, such as installers)?</w:t>
      </w:r>
    </w:p>
    <w:p w:rsidR="00E75A8A" w:rsidRPr="006B18A3" w:rsidRDefault="00E75A8A" w:rsidP="00E75A8A">
      <w:pPr>
        <w:ind w:left="360"/>
        <w:rPr>
          <w:rFonts w:eastAsia="Batang"/>
          <w:lang w:eastAsia="de-DE"/>
        </w:rPr>
      </w:pPr>
      <w:r w:rsidRPr="006B18A3">
        <w:rPr>
          <w:rFonts w:eastAsia="Batang"/>
          <w:lang w:eastAsia="de-DE"/>
        </w:rPr>
        <w:t>The energy labelling Regulations establish that the dealer has to ensure that each local space heater bears the label at the point of sale. During a trade fair, placing on the market is not taking place, there is no obligation to display the label and at the same time information can be provided to professionals about the energy labelling class of the product. Even if no energy labelling legal requirements apply, common sense dictates that in order to provide accurate information, the labels displayed shall be in line with the relevant regulations.</w:t>
      </w:r>
    </w:p>
    <w:p w:rsidR="00C021C2" w:rsidRPr="006B18A3" w:rsidRDefault="00C021C2" w:rsidP="00C021C2">
      <w:pPr>
        <w:pStyle w:val="Liststycke"/>
        <w:numPr>
          <w:ilvl w:val="0"/>
          <w:numId w:val="22"/>
        </w:numPr>
        <w:contextualSpacing w:val="0"/>
        <w:rPr>
          <w:b/>
          <w:i/>
        </w:rPr>
      </w:pPr>
      <w:r w:rsidRPr="006B18A3">
        <w:rPr>
          <w:b/>
          <w:i/>
        </w:rPr>
        <w:t>Should the energy label be delivered together with the local space heater inside the box, or could it be provided for each local space heater</w:t>
      </w:r>
      <w:r w:rsidRPr="006B18A3" w:rsidDel="00C603DD">
        <w:rPr>
          <w:b/>
          <w:i/>
        </w:rPr>
        <w:t xml:space="preserve"> </w:t>
      </w:r>
      <w:r w:rsidRPr="006B18A3">
        <w:rPr>
          <w:b/>
          <w:i/>
        </w:rPr>
        <w:t>by means of separate literature regarding the product, websites, brochures, evidence at sales point, etc.?</w:t>
      </w:r>
    </w:p>
    <w:p w:rsidR="00C021C2" w:rsidRPr="00567FFD" w:rsidRDefault="00C021C2" w:rsidP="00C021C2">
      <w:pPr>
        <w:ind w:left="360"/>
        <w:rPr>
          <w:rFonts w:eastAsia="Batang"/>
          <w:lang w:eastAsia="de-DE"/>
        </w:rPr>
      </w:pPr>
      <w:r w:rsidRPr="006B18A3">
        <w:rPr>
          <w:rFonts w:eastAsia="Batang"/>
          <w:lang w:eastAsia="de-DE"/>
        </w:rPr>
        <w:t xml:space="preserve">According to Article 3 of Regulation 2015/1186, the label shall be printed; there is no specific indication on where </w:t>
      </w:r>
      <w:r w:rsidR="00567FFD">
        <w:rPr>
          <w:rFonts w:eastAsia="Batang"/>
          <w:lang w:eastAsia="de-DE"/>
        </w:rPr>
        <w:t xml:space="preserve">to </w:t>
      </w:r>
      <w:r w:rsidRPr="00567FFD">
        <w:rPr>
          <w:rFonts w:eastAsia="Batang"/>
          <w:lang w:eastAsia="de-DE"/>
        </w:rPr>
        <w:t>provid</w:t>
      </w:r>
      <w:r w:rsidR="00567FFD">
        <w:rPr>
          <w:rFonts w:eastAsia="Batang"/>
          <w:lang w:eastAsia="de-DE"/>
        </w:rPr>
        <w:t>e</w:t>
      </w:r>
      <w:r w:rsidRPr="00567FFD">
        <w:rPr>
          <w:rFonts w:eastAsia="Batang"/>
          <w:lang w:eastAsia="de-DE"/>
        </w:rPr>
        <w:t xml:space="preserve"> it, but websites cannot be used to provide “printed” labels. It is to be understood that the </w:t>
      </w:r>
      <w:r w:rsidRPr="00620766">
        <w:rPr>
          <w:rFonts w:eastAsia="Batang"/>
          <w:lang w:eastAsia="de-DE"/>
        </w:rPr>
        <w:t xml:space="preserve">dealer has to be provided with correct and clear information on the energy performance of heaters. The label may be delivered together with supplementary material as long </w:t>
      </w:r>
      <w:r w:rsidRPr="006B18A3">
        <w:rPr>
          <w:rFonts w:eastAsia="Batang"/>
          <w:lang w:eastAsia="de-DE"/>
        </w:rPr>
        <w:t>labels</w:t>
      </w:r>
      <w:r w:rsidRPr="00567FFD">
        <w:rPr>
          <w:rFonts w:eastAsia="Batang"/>
          <w:lang w:eastAsia="de-DE"/>
        </w:rPr>
        <w:t xml:space="preserve"> are provided</w:t>
      </w:r>
      <w:r w:rsidR="00074EB1">
        <w:rPr>
          <w:rFonts w:eastAsia="Batang"/>
          <w:lang w:eastAsia="de-DE"/>
        </w:rPr>
        <w:t xml:space="preserve"> with each local space heater</w:t>
      </w:r>
      <w:r w:rsidRPr="00567FFD">
        <w:rPr>
          <w:rFonts w:eastAsia="Batang"/>
          <w:lang w:eastAsia="de-DE"/>
        </w:rPr>
        <w:t xml:space="preserve">. </w:t>
      </w:r>
    </w:p>
    <w:p w:rsidR="00C021C2" w:rsidRPr="00620766" w:rsidRDefault="00C021C2" w:rsidP="00C021C2">
      <w:pPr>
        <w:pStyle w:val="Liststycke"/>
        <w:numPr>
          <w:ilvl w:val="0"/>
          <w:numId w:val="22"/>
        </w:numPr>
        <w:contextualSpacing w:val="0"/>
        <w:rPr>
          <w:b/>
          <w:i/>
        </w:rPr>
      </w:pPr>
      <w:r w:rsidRPr="00620766">
        <w:rPr>
          <w:b/>
          <w:i/>
        </w:rPr>
        <w:lastRenderedPageBreak/>
        <w:t>With regard to the obligation to communicate the efficiency class, the definitions of energy related information and technical parameters are unclear (e.g. are dimensions technical parameters?).</w:t>
      </w:r>
    </w:p>
    <w:p w:rsidR="00C021C2" w:rsidRPr="006B18A3" w:rsidRDefault="00C021C2" w:rsidP="00C021C2">
      <w:pPr>
        <w:ind w:left="360"/>
        <w:rPr>
          <w:rFonts w:eastAsia="Batang"/>
          <w:lang w:eastAsia="de-DE"/>
        </w:rPr>
      </w:pPr>
      <w:r w:rsidRPr="00620766">
        <w:rPr>
          <w:rFonts w:eastAsia="Batang"/>
          <w:lang w:eastAsia="de-DE"/>
        </w:rPr>
        <w:t>Dealers are ob</w:t>
      </w:r>
      <w:r w:rsidRPr="006B18A3">
        <w:rPr>
          <w:rFonts w:eastAsia="Batang"/>
          <w:lang w:eastAsia="de-DE"/>
        </w:rPr>
        <w:t xml:space="preserve">liged to provide information on the energy efficiency of the product together with any technical promotional material or together with information describing the technical parameters of the product. The technical parameters are reflected in Annex V of the </w:t>
      </w:r>
      <w:r w:rsidR="0047284A" w:rsidRPr="006B18A3">
        <w:rPr>
          <w:rFonts w:eastAsia="Batang"/>
          <w:lang w:eastAsia="de-DE"/>
        </w:rPr>
        <w:t>Energy Labelling R</w:t>
      </w:r>
      <w:r w:rsidRPr="006B18A3">
        <w:rPr>
          <w:rFonts w:eastAsia="Batang"/>
          <w:lang w:eastAsia="de-DE"/>
        </w:rPr>
        <w:t>egulation. Dimensions are not listed as technical parameters.</w:t>
      </w:r>
    </w:p>
    <w:p w:rsidR="00C021C2" w:rsidRPr="006B18A3" w:rsidRDefault="00C021C2" w:rsidP="00C021C2">
      <w:pPr>
        <w:pStyle w:val="Liststycke"/>
        <w:numPr>
          <w:ilvl w:val="0"/>
          <w:numId w:val="22"/>
        </w:numPr>
        <w:contextualSpacing w:val="0"/>
        <w:rPr>
          <w:b/>
          <w:i/>
        </w:rPr>
      </w:pPr>
      <w:r w:rsidRPr="006B18A3">
        <w:rPr>
          <w:b/>
          <w:i/>
        </w:rPr>
        <w:t>Is a price list of the supplier, which is used for dealers only, defined as technical promotional material?</w:t>
      </w:r>
    </w:p>
    <w:p w:rsidR="00C021C2" w:rsidRPr="006B18A3" w:rsidRDefault="00C021C2" w:rsidP="00C021C2">
      <w:pPr>
        <w:ind w:left="360"/>
        <w:rPr>
          <w:rFonts w:eastAsia="Batang"/>
          <w:lang w:eastAsia="de-DE"/>
        </w:rPr>
      </w:pPr>
      <w:r w:rsidRPr="006B18A3">
        <w:rPr>
          <w:rFonts w:eastAsia="Batang"/>
          <w:lang w:eastAsia="de-DE"/>
        </w:rPr>
        <w:t>Any advertisement relating to a specific product and containing price information has to include a reference to the efficiency of the product. As price lists obviously include information on prices, they are covered by this obligation.</w:t>
      </w:r>
    </w:p>
    <w:p w:rsidR="00C021C2" w:rsidRPr="006B18A3" w:rsidRDefault="0047284A" w:rsidP="00C021C2">
      <w:pPr>
        <w:pStyle w:val="Liststycke"/>
        <w:numPr>
          <w:ilvl w:val="0"/>
          <w:numId w:val="22"/>
        </w:numPr>
        <w:contextualSpacing w:val="0"/>
        <w:rPr>
          <w:b/>
          <w:i/>
        </w:rPr>
      </w:pPr>
      <w:r w:rsidRPr="006B18A3">
        <w:rPr>
          <w:b/>
          <w:i/>
        </w:rPr>
        <w:t>Are</w:t>
      </w:r>
      <w:r w:rsidR="00557934" w:rsidRPr="006B18A3">
        <w:rPr>
          <w:b/>
          <w:i/>
        </w:rPr>
        <w:t xml:space="preserve"> </w:t>
      </w:r>
      <w:r w:rsidRPr="006B18A3">
        <w:rPr>
          <w:b/>
          <w:i/>
        </w:rPr>
        <w:t>products delivered</w:t>
      </w:r>
      <w:r w:rsidR="00C021C2" w:rsidRPr="006B18A3">
        <w:rPr>
          <w:b/>
          <w:i/>
        </w:rPr>
        <w:t xml:space="preserve"> to dealers </w:t>
      </w:r>
      <w:r w:rsidR="00557934" w:rsidRPr="006B18A3">
        <w:rPr>
          <w:b/>
          <w:i/>
        </w:rPr>
        <w:t>before the 1</w:t>
      </w:r>
      <w:r w:rsidR="00557934" w:rsidRPr="006B18A3">
        <w:rPr>
          <w:b/>
          <w:i/>
          <w:vertAlign w:val="superscript"/>
        </w:rPr>
        <w:t>st</w:t>
      </w:r>
      <w:r w:rsidR="00557934" w:rsidRPr="006B18A3">
        <w:rPr>
          <w:b/>
          <w:i/>
        </w:rPr>
        <w:t xml:space="preserve"> of Janu</w:t>
      </w:r>
      <w:r w:rsidRPr="006B18A3">
        <w:rPr>
          <w:b/>
          <w:i/>
        </w:rPr>
        <w:t xml:space="preserve">ary 2018 subject to the energy </w:t>
      </w:r>
      <w:r w:rsidR="00557934" w:rsidRPr="006B18A3">
        <w:rPr>
          <w:b/>
          <w:i/>
        </w:rPr>
        <w:t>label</w:t>
      </w:r>
      <w:r w:rsidRPr="006B18A3">
        <w:rPr>
          <w:b/>
          <w:i/>
        </w:rPr>
        <w:t>ling requirement</w:t>
      </w:r>
      <w:r w:rsidR="00C021C2" w:rsidRPr="006B18A3">
        <w:rPr>
          <w:b/>
          <w:i/>
        </w:rPr>
        <w:t xml:space="preserve">? </w:t>
      </w:r>
    </w:p>
    <w:p w:rsidR="00C021C2" w:rsidRPr="006B18A3" w:rsidRDefault="00C021C2" w:rsidP="00C021C2">
      <w:pPr>
        <w:pStyle w:val="Liststycke"/>
        <w:ind w:left="360"/>
        <w:contextualSpacing w:val="0"/>
      </w:pPr>
      <w:r w:rsidRPr="006B18A3">
        <w:t>Article 3 states that the energy labelling requirement is only applicable to the products that are placed on the market or put into service from 1 January 2018 onwards.</w:t>
      </w:r>
    </w:p>
    <w:p w:rsidR="00C021C2" w:rsidRPr="00567FFD" w:rsidRDefault="00C021C2" w:rsidP="00C021C2">
      <w:pPr>
        <w:pStyle w:val="Liststycke"/>
        <w:ind w:left="360"/>
        <w:contextualSpacing w:val="0"/>
      </w:pPr>
      <w:r w:rsidRPr="006B18A3">
        <w:t xml:space="preserve">Products that were placed on the market before 1 January 2018 do not have to </w:t>
      </w:r>
      <w:r w:rsidR="00567FFD">
        <w:t xml:space="preserve">be </w:t>
      </w:r>
      <w:r w:rsidR="00567FFD" w:rsidRPr="00567FFD">
        <w:t xml:space="preserve">accompanied by </w:t>
      </w:r>
      <w:r w:rsidRPr="00567FFD">
        <w:t xml:space="preserve">the energy label. </w:t>
      </w:r>
    </w:p>
    <w:p w:rsidR="00557934" w:rsidRPr="00A97460" w:rsidRDefault="00557934" w:rsidP="00557934">
      <w:pPr>
        <w:pStyle w:val="Liststycke"/>
        <w:numPr>
          <w:ilvl w:val="0"/>
          <w:numId w:val="22"/>
        </w:numPr>
        <w:contextualSpacing w:val="0"/>
        <w:rPr>
          <w:b/>
          <w:i/>
        </w:rPr>
      </w:pPr>
      <w:r w:rsidRPr="00A97460">
        <w:rPr>
          <w:b/>
          <w:i/>
        </w:rPr>
        <w:t xml:space="preserve">What happens if a label has not the exact dimensions as indicated in (EU) 2015/1186 Annex III? </w:t>
      </w:r>
    </w:p>
    <w:p w:rsidR="00557934" w:rsidRPr="00A97460" w:rsidRDefault="00557934" w:rsidP="00557934">
      <w:pPr>
        <w:pStyle w:val="Liststycke"/>
        <w:ind w:left="360"/>
        <w:contextualSpacing w:val="0"/>
      </w:pPr>
      <w:r w:rsidRPr="00A97460">
        <w:t xml:space="preserve">The format </w:t>
      </w:r>
      <w:r w:rsidR="00567FFD" w:rsidRPr="00A97460">
        <w:t xml:space="preserve">and dimensions </w:t>
      </w:r>
      <w:r w:rsidRPr="00A97460">
        <w:t xml:space="preserve">of the label </w:t>
      </w:r>
      <w:r w:rsidR="00567FFD" w:rsidRPr="00A97460">
        <w:t xml:space="preserve">as laid down in the Regulation have to </w:t>
      </w:r>
      <w:r w:rsidRPr="00A97460">
        <w:t xml:space="preserve">be respected. </w:t>
      </w:r>
    </w:p>
    <w:p w:rsidR="00557934" w:rsidRDefault="00557934" w:rsidP="00557934">
      <w:pPr>
        <w:pStyle w:val="Liststycke"/>
        <w:ind w:left="360"/>
        <w:contextualSpacing w:val="0"/>
      </w:pPr>
      <w:r w:rsidRPr="00A97460">
        <w:t xml:space="preserve">The </w:t>
      </w:r>
      <w:r w:rsidR="00567FFD" w:rsidRPr="00A97460">
        <w:t>M</w:t>
      </w:r>
      <w:r w:rsidRPr="00A97460">
        <w:t xml:space="preserve">ember </w:t>
      </w:r>
      <w:r w:rsidR="00567FFD" w:rsidRPr="00A97460">
        <w:t>S</w:t>
      </w:r>
      <w:r w:rsidRPr="00A97460">
        <w:t xml:space="preserve">tates </w:t>
      </w:r>
      <w:r w:rsidR="00567FFD" w:rsidRPr="00A97460">
        <w:t xml:space="preserve">are responsible for </w:t>
      </w:r>
      <w:r w:rsidRPr="00A97460">
        <w:t>assess</w:t>
      </w:r>
      <w:r w:rsidR="00567FFD" w:rsidRPr="00A97460">
        <w:t>ing</w:t>
      </w:r>
      <w:r w:rsidRPr="00A97460">
        <w:t xml:space="preserve"> </w:t>
      </w:r>
      <w:r w:rsidR="00567FFD" w:rsidRPr="00A97460">
        <w:t>compliance</w:t>
      </w:r>
      <w:r w:rsidRPr="00A97460">
        <w:t xml:space="preserve"> with the requirements, including the label format.</w:t>
      </w:r>
    </w:p>
    <w:p w:rsidR="00904315" w:rsidRDefault="00904315" w:rsidP="00904315">
      <w:pPr>
        <w:pStyle w:val="Liststycke"/>
        <w:numPr>
          <w:ilvl w:val="0"/>
          <w:numId w:val="22"/>
        </w:numPr>
        <w:contextualSpacing w:val="0"/>
        <w:rPr>
          <w:b/>
          <w:i/>
        </w:rPr>
      </w:pPr>
      <w:r>
        <w:rPr>
          <w:b/>
          <w:i/>
        </w:rPr>
        <w:t xml:space="preserve">On energy </w:t>
      </w:r>
      <w:r w:rsidRPr="00904315">
        <w:rPr>
          <w:b/>
          <w:i/>
        </w:rPr>
        <w:t xml:space="preserve">the label, the direct heat output needs to be displayed, should this be the gross calorific value or the net calorific value? </w:t>
      </w:r>
    </w:p>
    <w:p w:rsidR="00904315" w:rsidRPr="00567FFD" w:rsidRDefault="00904315" w:rsidP="00557934">
      <w:pPr>
        <w:pStyle w:val="Liststycke"/>
        <w:ind w:left="360"/>
        <w:contextualSpacing w:val="0"/>
      </w:pPr>
      <w:r>
        <w:t xml:space="preserve">For domestic local space heaters energy efficiency and direct heat output need to be displayed in net calorific value. </w:t>
      </w:r>
    </w:p>
    <w:p w:rsidR="00E75A8A" w:rsidRPr="00620766" w:rsidRDefault="00E75A8A" w:rsidP="00E75A8A">
      <w:pPr>
        <w:rPr>
          <w:b/>
          <w:i/>
        </w:rPr>
      </w:pPr>
      <w:r w:rsidRPr="00620766">
        <w:rPr>
          <w:b/>
          <w:i/>
        </w:rPr>
        <w:t>Entry into force and Implementation</w:t>
      </w:r>
    </w:p>
    <w:p w:rsidR="00694FB8" w:rsidRPr="006B18A3" w:rsidRDefault="00694FB8" w:rsidP="00694FB8">
      <w:pPr>
        <w:pStyle w:val="Liststycke"/>
        <w:numPr>
          <w:ilvl w:val="0"/>
          <w:numId w:val="22"/>
        </w:numPr>
        <w:rPr>
          <w:rFonts w:ascii="Century Gothic" w:hAnsi="Century Gothic"/>
          <w:b/>
          <w:i/>
        </w:rPr>
      </w:pPr>
      <w:r w:rsidRPr="006B18A3">
        <w:rPr>
          <w:b/>
          <w:i/>
        </w:rPr>
        <w:t>What will actually happen when the regulations are entering into force?</w:t>
      </w:r>
      <w:r w:rsidR="0047284A" w:rsidRPr="006B18A3">
        <w:rPr>
          <w:b/>
          <w:i/>
        </w:rPr>
        <w:t xml:space="preserve"> Are implemented?</w:t>
      </w:r>
    </w:p>
    <w:p w:rsidR="00694FB8" w:rsidRPr="006B18A3" w:rsidRDefault="00694FB8" w:rsidP="00694FB8">
      <w:pPr>
        <w:ind w:left="360"/>
      </w:pPr>
      <w:r w:rsidRPr="006B18A3">
        <w:t xml:space="preserve">The </w:t>
      </w:r>
      <w:r w:rsidR="00567FFD">
        <w:t>R</w:t>
      </w:r>
      <w:r w:rsidRPr="006B18A3">
        <w:t>egulations entered in force on 10 August 2015 (</w:t>
      </w:r>
      <w:r w:rsidR="00567FFD">
        <w:t xml:space="preserve">i.e. </w:t>
      </w:r>
      <w:r w:rsidRPr="006B18A3">
        <w:t xml:space="preserve">20 days after </w:t>
      </w:r>
      <w:r w:rsidR="00567FFD">
        <w:t xml:space="preserve">their </w:t>
      </w:r>
      <w:r w:rsidRPr="006B18A3">
        <w:t>publication</w:t>
      </w:r>
      <w:r w:rsidR="00567FFD">
        <w:t xml:space="preserve"> in the Official Journal of the European Union</w:t>
      </w:r>
      <w:r w:rsidRPr="006B18A3">
        <w:t xml:space="preserve">). </w:t>
      </w:r>
    </w:p>
    <w:p w:rsidR="008A0C3A" w:rsidRPr="00567FFD" w:rsidRDefault="00694FB8" w:rsidP="00694FB8">
      <w:pPr>
        <w:ind w:left="360"/>
      </w:pPr>
      <w:r w:rsidRPr="006B18A3">
        <w:lastRenderedPageBreak/>
        <w:t>The ecodesign requirements for local space heaters ((EU) 2015/1188) beco</w:t>
      </w:r>
      <w:r w:rsidRPr="00567FFD">
        <w:t>me applicable on 1 January 2018; the ecodesign requirements for solid fuel local space heaters ((EU) 2015/1185) become applicable on 1</w:t>
      </w:r>
      <w:r w:rsidR="008A0C3A" w:rsidRPr="00620766">
        <w:t xml:space="preserve"> January 2022. </w:t>
      </w:r>
      <w:r w:rsidRPr="006B18A3">
        <w:t>From th</w:t>
      </w:r>
      <w:r w:rsidR="008A0C3A" w:rsidRPr="006B18A3">
        <w:t>ese</w:t>
      </w:r>
      <w:r w:rsidRPr="006B18A3">
        <w:t xml:space="preserve"> date</w:t>
      </w:r>
      <w:r w:rsidR="008A0C3A" w:rsidRPr="006B18A3">
        <w:t>s</w:t>
      </w:r>
      <w:r w:rsidRPr="006B18A3">
        <w:t xml:space="preserve">, local space heaters </w:t>
      </w:r>
      <w:r w:rsidR="0047284A" w:rsidRPr="006B18A3">
        <w:t xml:space="preserve">in scope of the respective regulations </w:t>
      </w:r>
      <w:r w:rsidRPr="006B18A3">
        <w:t>placed on the EU market ha</w:t>
      </w:r>
      <w:r w:rsidR="00567FFD">
        <w:t>ve</w:t>
      </w:r>
      <w:r w:rsidRPr="00567FFD">
        <w:t xml:space="preserve"> to comply with the ecodesign requirements. </w:t>
      </w:r>
    </w:p>
    <w:p w:rsidR="008A0C3A" w:rsidRPr="00567FFD" w:rsidRDefault="00694FB8" w:rsidP="00694FB8">
      <w:pPr>
        <w:ind w:left="360"/>
      </w:pPr>
      <w:r w:rsidRPr="00567FFD">
        <w:t xml:space="preserve">For </w:t>
      </w:r>
      <w:r w:rsidR="00567FFD">
        <w:t xml:space="preserve">further </w:t>
      </w:r>
      <w:r w:rsidRPr="00567FFD">
        <w:t>detail</w:t>
      </w:r>
      <w:r w:rsidR="00567FFD">
        <w:t>s</w:t>
      </w:r>
      <w:r w:rsidRPr="00567FFD">
        <w:t xml:space="preserve"> on the concept of placing on the market, please see section 2.3 of the Blue Guide: </w:t>
      </w:r>
    </w:p>
    <w:p w:rsidR="008A0C3A" w:rsidRPr="006B18A3" w:rsidRDefault="004D3DB6" w:rsidP="00694FB8">
      <w:pPr>
        <w:ind w:left="360"/>
      </w:pPr>
      <w:hyperlink r:id="rId9" w:history="1">
        <w:r w:rsidR="00694FB8" w:rsidRPr="006B18A3">
          <w:rPr>
            <w:rStyle w:val="Hyperlnk"/>
          </w:rPr>
          <w:t>http://ec.europa.eu/growth/tools-databases/newsroom/cf/itemdetail.cfm?item_id=7326&amp;lang=en&amp;title=%E2%80%98Blue-Guide%E2%80%99-on-the-implementation-of-EU-product-rules</w:t>
        </w:r>
      </w:hyperlink>
    </w:p>
    <w:p w:rsidR="002D2EA4" w:rsidRPr="00567FFD" w:rsidRDefault="002D2EA4" w:rsidP="002D2EA4">
      <w:pPr>
        <w:pStyle w:val="Liststycke"/>
        <w:numPr>
          <w:ilvl w:val="0"/>
          <w:numId w:val="22"/>
        </w:numPr>
        <w:contextualSpacing w:val="0"/>
        <w:rPr>
          <w:b/>
          <w:i/>
        </w:rPr>
      </w:pPr>
      <w:r w:rsidRPr="006B18A3">
        <w:rPr>
          <w:b/>
          <w:i/>
        </w:rPr>
        <w:t>Which time frame before the implementation date of the ecodesign requirements is tolerated for manufacturers to deliver their appliances to dealers and distribute</w:t>
      </w:r>
      <w:r w:rsidRPr="00567FFD">
        <w:rPr>
          <w:b/>
          <w:i/>
        </w:rPr>
        <w:t xml:space="preserve">rs? </w:t>
      </w:r>
    </w:p>
    <w:p w:rsidR="0047284A" w:rsidRPr="006B18A3" w:rsidRDefault="002D2EA4" w:rsidP="002D2EA4">
      <w:pPr>
        <w:pStyle w:val="Liststycke"/>
        <w:ind w:left="360"/>
        <w:contextualSpacing w:val="0"/>
      </w:pPr>
      <w:r w:rsidRPr="00620766">
        <w:t>The Ecodesign Regulations set requirements on the products at the time of their placing on the market.</w:t>
      </w:r>
      <w:r w:rsidRPr="006B18A3">
        <w:t xml:space="preserve"> </w:t>
      </w:r>
    </w:p>
    <w:p w:rsidR="002D2EA4" w:rsidRPr="00567FFD" w:rsidRDefault="0047284A" w:rsidP="002D2EA4">
      <w:pPr>
        <w:pStyle w:val="Liststycke"/>
        <w:ind w:left="360"/>
        <w:contextualSpacing w:val="0"/>
      </w:pPr>
      <w:r w:rsidRPr="006B18A3">
        <w:t>If</w:t>
      </w:r>
      <w:r w:rsidR="002D2EA4" w:rsidRPr="006B18A3">
        <w:t xml:space="preserve"> products are placed on the market before the </w:t>
      </w:r>
      <w:r w:rsidR="00567FFD">
        <w:t>application</w:t>
      </w:r>
      <w:r w:rsidR="00567FFD" w:rsidRPr="00567FFD">
        <w:t xml:space="preserve"> </w:t>
      </w:r>
      <w:r w:rsidR="002D2EA4" w:rsidRPr="00567FFD">
        <w:t xml:space="preserve">date of the ecodesign requirements, they do not have to comply with the ecodesign requirements. </w:t>
      </w:r>
    </w:p>
    <w:p w:rsidR="00E75A8A" w:rsidRPr="00620766" w:rsidRDefault="00E75A8A" w:rsidP="00E75A8A">
      <w:pPr>
        <w:rPr>
          <w:b/>
          <w:i/>
        </w:rPr>
      </w:pPr>
      <w:r w:rsidRPr="00620766">
        <w:rPr>
          <w:b/>
          <w:i/>
        </w:rPr>
        <w:t>Scope</w:t>
      </w:r>
    </w:p>
    <w:p w:rsidR="00ED665F" w:rsidRPr="006B18A3" w:rsidRDefault="00ED665F" w:rsidP="00E44625">
      <w:pPr>
        <w:pStyle w:val="Liststycke"/>
        <w:numPr>
          <w:ilvl w:val="0"/>
          <w:numId w:val="22"/>
        </w:numPr>
        <w:rPr>
          <w:b/>
          <w:i/>
        </w:rPr>
      </w:pPr>
      <w:r w:rsidRPr="006B18A3">
        <w:rPr>
          <w:b/>
          <w:i/>
        </w:rPr>
        <w:t xml:space="preserve">When a local space heater </w:t>
      </w:r>
      <w:r w:rsidR="0047284A" w:rsidRPr="006B18A3">
        <w:rPr>
          <w:b/>
          <w:i/>
        </w:rPr>
        <w:t>has</w:t>
      </w:r>
      <w:r w:rsidRPr="006B18A3">
        <w:rPr>
          <w:b/>
          <w:i/>
        </w:rPr>
        <w:t xml:space="preserve"> two modes, one autonomous and the other non-autonomous, does it fall under the definition </w:t>
      </w:r>
      <w:r w:rsidR="0092453C" w:rsidRPr="006B18A3">
        <w:rPr>
          <w:b/>
          <w:i/>
        </w:rPr>
        <w:t>of a slave heater</w:t>
      </w:r>
      <w:r w:rsidR="00D470B8" w:rsidRPr="006B18A3">
        <w:rPr>
          <w:b/>
          <w:i/>
        </w:rPr>
        <w:t xml:space="preserve"> (</w:t>
      </w:r>
      <w:r w:rsidR="002A49F0" w:rsidRPr="006B18A3">
        <w:rPr>
          <w:b/>
          <w:i/>
        </w:rPr>
        <w:t xml:space="preserve">exception </w:t>
      </w:r>
      <w:r w:rsidR="00D470B8" w:rsidRPr="006B18A3">
        <w:rPr>
          <w:b/>
          <w:i/>
        </w:rPr>
        <w:t>in</w:t>
      </w:r>
      <w:r w:rsidR="002A49F0" w:rsidRPr="006B18A3">
        <w:rPr>
          <w:b/>
          <w:i/>
        </w:rPr>
        <w:t xml:space="preserve"> </w:t>
      </w:r>
      <w:r w:rsidR="00D470B8" w:rsidRPr="006B18A3">
        <w:rPr>
          <w:b/>
          <w:i/>
        </w:rPr>
        <w:t>A</w:t>
      </w:r>
      <w:r w:rsidR="002A49F0" w:rsidRPr="006B18A3">
        <w:rPr>
          <w:b/>
          <w:i/>
        </w:rPr>
        <w:t>rticle</w:t>
      </w:r>
      <w:r w:rsidR="00D470B8" w:rsidRPr="006B18A3">
        <w:rPr>
          <w:b/>
          <w:i/>
        </w:rPr>
        <w:t xml:space="preserve"> 1.g. of regulation (EU)</w:t>
      </w:r>
      <w:r w:rsidR="0047284A" w:rsidRPr="006B18A3">
        <w:rPr>
          <w:b/>
          <w:i/>
        </w:rPr>
        <w:t xml:space="preserve"> </w:t>
      </w:r>
      <w:r w:rsidR="00D470B8" w:rsidRPr="006B18A3">
        <w:rPr>
          <w:b/>
          <w:i/>
        </w:rPr>
        <w:t>2015/1188)</w:t>
      </w:r>
      <w:r w:rsidR="002A49F0" w:rsidRPr="006B18A3">
        <w:rPr>
          <w:b/>
          <w:i/>
        </w:rPr>
        <w:t>?</w:t>
      </w:r>
      <w:r w:rsidR="00D470B8" w:rsidRPr="006B18A3">
        <w:rPr>
          <w:b/>
          <w:i/>
        </w:rPr>
        <w:t xml:space="preserve"> </w:t>
      </w:r>
    </w:p>
    <w:p w:rsidR="00ED665F" w:rsidRPr="006B18A3" w:rsidRDefault="00ED665F" w:rsidP="00ED665F">
      <w:pPr>
        <w:pStyle w:val="Liststycke"/>
        <w:ind w:left="360"/>
        <w:jc w:val="left"/>
        <w:rPr>
          <w:b/>
          <w:i/>
        </w:rPr>
      </w:pPr>
    </w:p>
    <w:p w:rsidR="002A49F0" w:rsidRPr="006B18A3" w:rsidRDefault="0092453C" w:rsidP="0047284A">
      <w:pPr>
        <w:pStyle w:val="Liststycke"/>
        <w:ind w:left="360"/>
        <w:jc w:val="left"/>
      </w:pPr>
      <w:r w:rsidRPr="006B18A3">
        <w:t>T</w:t>
      </w:r>
      <w:r w:rsidR="002A49F0" w:rsidRPr="006B18A3">
        <w:t>he definition of a slave heater</w:t>
      </w:r>
      <w:r w:rsidR="0047284A" w:rsidRPr="006B18A3">
        <w:t xml:space="preserve"> article 2, definition (19), </w:t>
      </w:r>
      <w:r w:rsidRPr="006B18A3">
        <w:t>states</w:t>
      </w:r>
      <w:r w:rsidR="0047284A" w:rsidRPr="006B18A3">
        <w:t xml:space="preserve"> that a slave heater is </w:t>
      </w:r>
      <w:r w:rsidR="0047284A" w:rsidRPr="006B18A3">
        <w:rPr>
          <w:u w:val="single"/>
        </w:rPr>
        <w:t>not capable of autonomous operation</w:t>
      </w:r>
      <w:r w:rsidR="0047284A" w:rsidRPr="006B18A3">
        <w:t>.</w:t>
      </w:r>
    </w:p>
    <w:p w:rsidR="00ED665F" w:rsidRPr="00567FFD" w:rsidRDefault="002A49F0" w:rsidP="00ED665F">
      <w:pPr>
        <w:ind w:left="360"/>
      </w:pPr>
      <w:r w:rsidRPr="006B18A3">
        <w:t xml:space="preserve">In case a product has </w:t>
      </w:r>
      <w:r w:rsidR="0092453C" w:rsidRPr="006B18A3">
        <w:t>two</w:t>
      </w:r>
      <w:r w:rsidRPr="006B18A3">
        <w:t xml:space="preserve"> modes,</w:t>
      </w:r>
      <w:r w:rsidR="00ED665F" w:rsidRPr="006B18A3">
        <w:rPr>
          <w:i/>
        </w:rPr>
        <w:t xml:space="preserve"> </w:t>
      </w:r>
      <w:r w:rsidR="00ED665F" w:rsidRPr="006B18A3">
        <w:t>one autonomous and the other non-autonomous,</w:t>
      </w:r>
      <w:r w:rsidRPr="006B18A3">
        <w:t xml:space="preserve"> it is capable of autonomous operation,</w:t>
      </w:r>
      <w:r w:rsidR="00ED665F" w:rsidRPr="006B18A3">
        <w:t xml:space="preserve"> therefore</w:t>
      </w:r>
      <w:r w:rsidRPr="006B18A3">
        <w:t xml:space="preserve"> it is not exempted by art</w:t>
      </w:r>
      <w:r w:rsidR="00567FFD">
        <w:t xml:space="preserve">icle </w:t>
      </w:r>
      <w:r w:rsidRPr="00567FFD">
        <w:t>1 g.</w:t>
      </w:r>
    </w:p>
    <w:p w:rsidR="00F02AE4" w:rsidRPr="006B18A3" w:rsidRDefault="00F02AE4" w:rsidP="00F02AE4">
      <w:pPr>
        <w:pStyle w:val="Liststycke"/>
        <w:numPr>
          <w:ilvl w:val="0"/>
          <w:numId w:val="22"/>
        </w:numPr>
        <w:contextualSpacing w:val="0"/>
        <w:rPr>
          <w:b/>
          <w:i/>
        </w:rPr>
      </w:pPr>
      <w:r w:rsidRPr="00620766">
        <w:rPr>
          <w:b/>
          <w:i/>
        </w:rPr>
        <w:t xml:space="preserve">If a local space heater and a control are sold separately, but the manual states that both products </w:t>
      </w:r>
      <w:r w:rsidRPr="006B18A3">
        <w:rPr>
          <w:b/>
          <w:i/>
        </w:rPr>
        <w:t xml:space="preserve">are intended to be installed and used together, are they to be seen as a product and in the scope of the eco-design regulation? </w:t>
      </w:r>
    </w:p>
    <w:p w:rsidR="00F02AE4" w:rsidRPr="00F423FD" w:rsidRDefault="0092453C" w:rsidP="00F02AE4">
      <w:pPr>
        <w:pStyle w:val="Liststycke"/>
        <w:ind w:left="360"/>
        <w:contextualSpacing w:val="0"/>
      </w:pPr>
      <w:r w:rsidRPr="006B18A3">
        <w:t>Yes. In</w:t>
      </w:r>
      <w:r w:rsidR="00F02AE4" w:rsidRPr="006B18A3">
        <w:t xml:space="preserve"> c</w:t>
      </w:r>
      <w:r w:rsidRPr="006B18A3">
        <w:t>ase the manual states that the local space heater and the control</w:t>
      </w:r>
      <w:r w:rsidR="00F02AE4" w:rsidRPr="006B18A3">
        <w:t xml:space="preserve"> are intended to be </w:t>
      </w:r>
      <w:r w:rsidRPr="006B18A3">
        <w:t xml:space="preserve">installed and </w:t>
      </w:r>
      <w:r w:rsidR="00F02AE4" w:rsidRPr="006B18A3">
        <w:t xml:space="preserve">used together, the </w:t>
      </w:r>
      <w:r w:rsidRPr="006B18A3">
        <w:t xml:space="preserve">combined </w:t>
      </w:r>
      <w:r w:rsidR="00F02AE4" w:rsidRPr="006B18A3">
        <w:t xml:space="preserve">product has </w:t>
      </w:r>
      <w:r w:rsidR="00F02AE4" w:rsidRPr="00F423FD">
        <w:t>to comply with the regulation</w:t>
      </w:r>
      <w:r w:rsidRPr="00F423FD">
        <w:t xml:space="preserve">, </w:t>
      </w:r>
      <w:r w:rsidRPr="006B18A3">
        <w:t>even when the local space heater and the control are sold separately</w:t>
      </w:r>
      <w:r w:rsidR="00F02AE4" w:rsidRPr="00F423FD">
        <w:t>.</w:t>
      </w:r>
    </w:p>
    <w:p w:rsidR="00557934" w:rsidRPr="00567FFD" w:rsidRDefault="00557934" w:rsidP="00557934">
      <w:pPr>
        <w:pStyle w:val="Liststycke"/>
        <w:numPr>
          <w:ilvl w:val="0"/>
          <w:numId w:val="22"/>
        </w:numPr>
        <w:contextualSpacing w:val="0"/>
        <w:jc w:val="left"/>
        <w:rPr>
          <w:b/>
          <w:i/>
        </w:rPr>
      </w:pPr>
      <w:r w:rsidRPr="006B18A3">
        <w:rPr>
          <w:b/>
          <w:i/>
        </w:rPr>
        <w:t>Are manually restored historical stoves in scope of Regulation</w:t>
      </w:r>
      <w:r w:rsidRPr="00567FFD">
        <w:rPr>
          <w:b/>
          <w:i/>
        </w:rPr>
        <w:t xml:space="preserve"> (EU) 2015/1186? </w:t>
      </w:r>
    </w:p>
    <w:p w:rsidR="00557934" w:rsidRPr="00567FFD" w:rsidRDefault="0092453C" w:rsidP="0092453C">
      <w:pPr>
        <w:ind w:left="360"/>
      </w:pPr>
      <w:r w:rsidRPr="00567FFD">
        <w:t>I</w:t>
      </w:r>
      <w:r w:rsidR="00557934" w:rsidRPr="00567FFD">
        <w:t xml:space="preserve">n case </w:t>
      </w:r>
      <w:r w:rsidR="00567FFD">
        <w:t>such</w:t>
      </w:r>
      <w:r w:rsidR="00557934" w:rsidRPr="00567FFD">
        <w:t xml:space="preserve"> historical stoves are not </w:t>
      </w:r>
      <w:r w:rsidR="00567FFD">
        <w:t>'</w:t>
      </w:r>
      <w:r w:rsidR="00557934" w:rsidRPr="00567FFD">
        <w:t>factory assembled' or 'if they are not provided as prefabricated components or parts by a single manufacturer which are assembled on site', they can benefit from exemption (g) in art</w:t>
      </w:r>
      <w:r w:rsidR="00567FFD">
        <w:t>icle</w:t>
      </w:r>
      <w:r w:rsidR="00557934" w:rsidRPr="00567FFD">
        <w:t xml:space="preserve"> 1 of regulation (EU) 2015/1186</w:t>
      </w:r>
      <w:r w:rsidRPr="00567FFD">
        <w:t>.</w:t>
      </w:r>
    </w:p>
    <w:p w:rsidR="00557934" w:rsidRPr="006B18A3" w:rsidRDefault="00557934" w:rsidP="00557934">
      <w:pPr>
        <w:pStyle w:val="Liststycke"/>
        <w:numPr>
          <w:ilvl w:val="0"/>
          <w:numId w:val="22"/>
        </w:numPr>
        <w:contextualSpacing w:val="0"/>
        <w:jc w:val="left"/>
        <w:rPr>
          <w:b/>
          <w:i/>
        </w:rPr>
      </w:pPr>
      <w:r w:rsidRPr="00620766">
        <w:rPr>
          <w:b/>
          <w:i/>
        </w:rPr>
        <w:t>Are towel rails in the scope of 2015/118</w:t>
      </w:r>
      <w:r w:rsidRPr="006B18A3">
        <w:rPr>
          <w:b/>
          <w:i/>
        </w:rPr>
        <w:t>8?</w:t>
      </w:r>
    </w:p>
    <w:p w:rsidR="00557934" w:rsidRPr="00F423FD" w:rsidRDefault="00557934" w:rsidP="00557934">
      <w:pPr>
        <w:ind w:left="360"/>
      </w:pPr>
      <w:r w:rsidRPr="006B18A3">
        <w:lastRenderedPageBreak/>
        <w:t xml:space="preserve">If a 'towel heater' is not capable of reaching and maintain a certain thermal comfort within an enclosed space in which the product is situated then it is not a 'local space heater' as defined Article 2(1) of the Regulation and </w:t>
      </w:r>
      <w:r w:rsidR="00F423FD">
        <w:t>thus out of the scope of</w:t>
      </w:r>
      <w:r w:rsidRPr="00F423FD">
        <w:t xml:space="preserve"> the regulation. If it is capable of doing so, it is covered by the regulation, unless it is "specified for purposes other than indoor space heating to reach and maintain a certain thermal comfort of human beings by means of heat convection or heat radiation" as specified in Article 1(b) of the Regulation, i.e. clearly advertised and offered for sale to be for heating towels. </w:t>
      </w:r>
    </w:p>
    <w:p w:rsidR="001820C1" w:rsidRPr="00620766" w:rsidRDefault="001820C1" w:rsidP="001820C1">
      <w:pPr>
        <w:pStyle w:val="Liststycke"/>
        <w:numPr>
          <w:ilvl w:val="0"/>
          <w:numId w:val="22"/>
        </w:numPr>
        <w:contextualSpacing w:val="0"/>
        <w:rPr>
          <w:b/>
          <w:i/>
        </w:rPr>
      </w:pPr>
      <w:r w:rsidRPr="00620766">
        <w:rPr>
          <w:b/>
          <w:i/>
        </w:rPr>
        <w:t>Are spot heaters, i.e. small fan heaters used as supplementary heating, in scope of 2015/1188?</w:t>
      </w:r>
    </w:p>
    <w:p w:rsidR="001820C1" w:rsidRPr="006B18A3" w:rsidRDefault="001820C1" w:rsidP="001820C1">
      <w:pPr>
        <w:ind w:left="360"/>
      </w:pPr>
      <w:r w:rsidRPr="006B18A3">
        <w:t>Same reasoning applies as in 13.</w:t>
      </w:r>
    </w:p>
    <w:p w:rsidR="00F02AE4" w:rsidRPr="006B18A3" w:rsidRDefault="00F02AE4" w:rsidP="00F02AE4">
      <w:pPr>
        <w:pStyle w:val="Liststycke"/>
        <w:numPr>
          <w:ilvl w:val="0"/>
          <w:numId w:val="22"/>
        </w:numPr>
        <w:rPr>
          <w:b/>
          <w:i/>
        </w:rPr>
      </w:pPr>
      <w:r w:rsidRPr="006B18A3">
        <w:rPr>
          <w:b/>
          <w:i/>
        </w:rPr>
        <w:t>Can pure on-off controllers still be sold after the implementation date of the ecodesign requirements?</w:t>
      </w:r>
    </w:p>
    <w:p w:rsidR="00F02AE4" w:rsidRPr="00F423FD" w:rsidRDefault="0092453C" w:rsidP="00F02AE4">
      <w:pPr>
        <w:ind w:left="360"/>
      </w:pPr>
      <w:r w:rsidRPr="00F423FD">
        <w:t xml:space="preserve">Yes. </w:t>
      </w:r>
      <w:r w:rsidR="00F02AE4" w:rsidRPr="00F423FD">
        <w:t>Controls do not fall under the regulation. The regulation does not put any requirement on separate sales of controls, unless if they would fall under the definition of ‘local space heater’.</w:t>
      </w:r>
    </w:p>
    <w:p w:rsidR="00C04A7B" w:rsidRPr="00F423FD" w:rsidRDefault="003405C6" w:rsidP="00C04A7B">
      <w:pPr>
        <w:pStyle w:val="Liststycke"/>
        <w:numPr>
          <w:ilvl w:val="0"/>
          <w:numId w:val="22"/>
        </w:numPr>
        <w:rPr>
          <w:b/>
          <w:i/>
        </w:rPr>
      </w:pPr>
      <w:r>
        <w:rPr>
          <w:b/>
          <w:i/>
        </w:rPr>
        <w:t xml:space="preserve">The correction factors F(2) and F(3) relate to local space heaters equipped with a type of control. </w:t>
      </w:r>
      <w:r w:rsidR="00C04A7B" w:rsidRPr="006B18A3">
        <w:rPr>
          <w:b/>
          <w:i/>
        </w:rPr>
        <w:t>What happens if</w:t>
      </w:r>
      <w:r w:rsidR="00C04A7B" w:rsidRPr="00567FFD">
        <w:rPr>
          <w:b/>
          <w:i/>
        </w:rPr>
        <w:t xml:space="preserve"> consumers continue to buy</w:t>
      </w:r>
      <w:r>
        <w:rPr>
          <w:b/>
          <w:i/>
        </w:rPr>
        <w:t>s</w:t>
      </w:r>
      <w:r w:rsidR="00C04A7B" w:rsidRPr="00567FFD">
        <w:rPr>
          <w:b/>
          <w:i/>
        </w:rPr>
        <w:t xml:space="preserve"> </w:t>
      </w:r>
      <w:r>
        <w:rPr>
          <w:b/>
          <w:i/>
        </w:rPr>
        <w:t xml:space="preserve">the local space heater without the control for which the manufacturer </w:t>
      </w:r>
      <w:r w:rsidR="00587893">
        <w:rPr>
          <w:b/>
          <w:i/>
        </w:rPr>
        <w:t>claims correction factors F(2) and F(3)</w:t>
      </w:r>
      <w:r w:rsidR="00C04A7B" w:rsidRPr="00F423FD">
        <w:rPr>
          <w:b/>
          <w:i/>
        </w:rPr>
        <w:t>? Is there an installer/reseller responsibility?</w:t>
      </w:r>
    </w:p>
    <w:p w:rsidR="00C04A7B" w:rsidRPr="00F423FD" w:rsidRDefault="00C04A7B" w:rsidP="00C04A7B">
      <w:pPr>
        <w:spacing w:before="240"/>
        <w:ind w:left="360"/>
      </w:pPr>
      <w:r w:rsidRPr="00F423FD">
        <w:t xml:space="preserve">Ecodesign </w:t>
      </w:r>
      <w:r w:rsidR="00F423FD">
        <w:t xml:space="preserve">regulations </w:t>
      </w:r>
      <w:r w:rsidRPr="00F423FD">
        <w:t xml:space="preserve">set requirements for manufacturers/importers at the time of placing on the market. </w:t>
      </w:r>
    </w:p>
    <w:p w:rsidR="00C04A7B" w:rsidRPr="00F423FD" w:rsidRDefault="00C04A7B" w:rsidP="00C04A7B">
      <w:pPr>
        <w:spacing w:before="240"/>
        <w:ind w:left="360"/>
      </w:pPr>
      <w:r w:rsidRPr="00F423FD">
        <w:t>To make sure that the products are sold together by the installer or reseller</w:t>
      </w:r>
      <w:r w:rsidRPr="006B18A3">
        <w:t>, the instruction manuals for installers and end-users need to clearly mention that the unit is to be installed with the control</w:t>
      </w:r>
      <w:r w:rsidR="00587893">
        <w:t xml:space="preserve"> for which he claims correction factors F(2) and F(3),</w:t>
      </w:r>
      <w:r w:rsidRPr="006B18A3">
        <w:t xml:space="preserve"> and need to include a description on how to install </w:t>
      </w:r>
      <w:r w:rsidRPr="00567FFD">
        <w:t xml:space="preserve">it. </w:t>
      </w:r>
    </w:p>
    <w:p w:rsidR="00C04A7B" w:rsidRPr="00F423FD" w:rsidRDefault="00C04A7B" w:rsidP="00C04A7B">
      <w:pPr>
        <w:spacing w:before="240"/>
        <w:ind w:left="360"/>
      </w:pPr>
      <w:r w:rsidRPr="00F423FD">
        <w:t>If products were placed on the market before the implementation date specified in the regulation, they do not need to comply.</w:t>
      </w:r>
    </w:p>
    <w:p w:rsidR="00E52F1A" w:rsidRPr="00F423FD" w:rsidRDefault="00E52F1A" w:rsidP="00E52F1A">
      <w:pPr>
        <w:pStyle w:val="Liststycke"/>
        <w:numPr>
          <w:ilvl w:val="0"/>
          <w:numId w:val="22"/>
        </w:numPr>
      </w:pPr>
      <w:r w:rsidRPr="006B18A3">
        <w:rPr>
          <w:b/>
          <w:i/>
        </w:rPr>
        <w:t xml:space="preserve">Are air heating product in scope of Regulation (EU) 2016/2281 excluded from the scope of the Ecodesign Regulation </w:t>
      </w:r>
      <w:r w:rsidRPr="00567FFD">
        <w:rPr>
          <w:b/>
          <w:i/>
        </w:rPr>
        <w:t>(EU) 2015/1188?</w:t>
      </w:r>
      <w:r w:rsidRPr="00F423FD">
        <w:t xml:space="preserve"> </w:t>
      </w:r>
    </w:p>
    <w:p w:rsidR="00E52F1A" w:rsidRPr="00F423FD" w:rsidRDefault="00E52F1A" w:rsidP="008424A8">
      <w:pPr>
        <w:pStyle w:val="Default"/>
        <w:spacing w:after="240"/>
        <w:ind w:left="360"/>
        <w:rPr>
          <w:rFonts w:asciiTheme="minorHAnsi" w:eastAsiaTheme="minorEastAsia" w:hAnsiTheme="minorHAnsi"/>
          <w:color w:val="auto"/>
        </w:rPr>
      </w:pPr>
      <w:r w:rsidRPr="00F423FD">
        <w:rPr>
          <w:rFonts w:asciiTheme="minorHAnsi" w:eastAsiaTheme="minorEastAsia" w:hAnsiTheme="minorHAnsi"/>
          <w:color w:val="auto"/>
        </w:rPr>
        <w:t xml:space="preserve">Yes. </w:t>
      </w:r>
      <w:r w:rsidR="008424A8" w:rsidRPr="00F423FD">
        <w:rPr>
          <w:rFonts w:asciiTheme="minorHAnsi" w:eastAsiaTheme="minorEastAsia" w:hAnsiTheme="minorHAnsi"/>
          <w:color w:val="auto"/>
        </w:rPr>
        <w:t>The heat generator of the</w:t>
      </w:r>
      <w:r w:rsidRPr="00F423FD">
        <w:rPr>
          <w:rFonts w:asciiTheme="minorHAnsi" w:eastAsiaTheme="minorEastAsia" w:hAnsiTheme="minorHAnsi"/>
          <w:color w:val="auto"/>
        </w:rPr>
        <w:t xml:space="preserve"> local space heater </w:t>
      </w:r>
      <w:r w:rsidR="008424A8" w:rsidRPr="00F423FD">
        <w:rPr>
          <w:rFonts w:asciiTheme="minorHAnsi" w:eastAsiaTheme="minorEastAsia" w:hAnsiTheme="minorHAnsi"/>
          <w:color w:val="auto"/>
        </w:rPr>
        <w:t>provides heat directly to the space it is situated in; these products are in scope of (EU) 2015/1188. The heat generator of an air heating product provides heat to an air based heating and does not heat the space it is situated in directly; these products are in scope of (EU) 2016/2281.</w:t>
      </w:r>
    </w:p>
    <w:p w:rsidR="008424A8" w:rsidRPr="00567FFD" w:rsidRDefault="008424A8" w:rsidP="008424A8">
      <w:pPr>
        <w:pStyle w:val="Liststycke"/>
        <w:numPr>
          <w:ilvl w:val="0"/>
          <w:numId w:val="22"/>
        </w:numPr>
        <w:rPr>
          <w:b/>
          <w:i/>
        </w:rPr>
      </w:pPr>
      <w:r w:rsidRPr="006B18A3">
        <w:rPr>
          <w:b/>
          <w:i/>
        </w:rPr>
        <w:t xml:space="preserve">Are fan coil units </w:t>
      </w:r>
      <w:r w:rsidR="00851954" w:rsidRPr="006B18A3">
        <w:rPr>
          <w:b/>
          <w:i/>
        </w:rPr>
        <w:t xml:space="preserve">or mix radiators </w:t>
      </w:r>
      <w:r w:rsidRPr="00567FFD">
        <w:rPr>
          <w:b/>
          <w:i/>
        </w:rPr>
        <w:t>local space heaters</w:t>
      </w:r>
      <w:r w:rsidR="00C10666" w:rsidRPr="00567FFD">
        <w:rPr>
          <w:b/>
          <w:i/>
        </w:rPr>
        <w:t xml:space="preserve"> as per the regulation</w:t>
      </w:r>
      <w:r w:rsidRPr="00567FFD">
        <w:rPr>
          <w:b/>
          <w:i/>
        </w:rPr>
        <w:t xml:space="preserve">? </w:t>
      </w:r>
    </w:p>
    <w:p w:rsidR="00C10666" w:rsidRPr="00620766" w:rsidRDefault="00C10666" w:rsidP="00C10666">
      <w:pPr>
        <w:pStyle w:val="Default"/>
        <w:spacing w:after="240"/>
        <w:ind w:left="360"/>
        <w:rPr>
          <w:rFonts w:asciiTheme="minorHAnsi" w:eastAsiaTheme="minorEastAsia" w:hAnsiTheme="minorHAnsi"/>
          <w:color w:val="auto"/>
        </w:rPr>
      </w:pPr>
      <w:r w:rsidRPr="00F423FD">
        <w:rPr>
          <w:rFonts w:asciiTheme="minorHAnsi" w:eastAsiaTheme="minorEastAsia" w:hAnsiTheme="minorHAnsi"/>
          <w:color w:val="auto"/>
        </w:rPr>
        <w:t xml:space="preserve">No. </w:t>
      </w:r>
      <w:r w:rsidR="00851954" w:rsidRPr="00F423FD">
        <w:rPr>
          <w:rFonts w:asciiTheme="minorHAnsi" w:eastAsiaTheme="minorEastAsia" w:hAnsiTheme="minorHAnsi"/>
          <w:color w:val="auto"/>
        </w:rPr>
        <w:t>As long as the f</w:t>
      </w:r>
      <w:r w:rsidRPr="00F423FD">
        <w:rPr>
          <w:rFonts w:asciiTheme="minorHAnsi" w:eastAsiaTheme="minorEastAsia" w:hAnsiTheme="minorHAnsi"/>
          <w:color w:val="auto"/>
        </w:rPr>
        <w:t xml:space="preserve">an coil units </w:t>
      </w:r>
      <w:r w:rsidR="00851954" w:rsidRPr="00F423FD">
        <w:rPr>
          <w:rFonts w:asciiTheme="minorHAnsi" w:eastAsiaTheme="minorEastAsia" w:hAnsiTheme="minorHAnsi"/>
          <w:color w:val="auto"/>
        </w:rPr>
        <w:t xml:space="preserve">and mix radiators </w:t>
      </w:r>
      <w:r w:rsidRPr="00F423FD">
        <w:rPr>
          <w:rFonts w:asciiTheme="minorHAnsi" w:eastAsiaTheme="minorEastAsia" w:hAnsiTheme="minorHAnsi"/>
          <w:color w:val="auto"/>
        </w:rPr>
        <w:t xml:space="preserve">are not equipped with one or more heat </w:t>
      </w:r>
      <w:r w:rsidR="00851954" w:rsidRPr="00F423FD">
        <w:rPr>
          <w:rFonts w:asciiTheme="minorHAnsi" w:eastAsiaTheme="minorEastAsia" w:hAnsiTheme="minorHAnsi"/>
          <w:color w:val="auto"/>
        </w:rPr>
        <w:t xml:space="preserve">generators, </w:t>
      </w:r>
      <w:r w:rsidRPr="00620766">
        <w:rPr>
          <w:rFonts w:asciiTheme="minorHAnsi" w:eastAsiaTheme="minorEastAsia" w:hAnsiTheme="minorHAnsi"/>
          <w:color w:val="auto"/>
        </w:rPr>
        <w:t xml:space="preserve">they are not local space heaters as per the definition in the regulation. </w:t>
      </w:r>
    </w:p>
    <w:p w:rsidR="008424A8" w:rsidRPr="006B18A3" w:rsidRDefault="00C10666" w:rsidP="00C10666">
      <w:pPr>
        <w:pStyle w:val="Default"/>
        <w:spacing w:after="240"/>
        <w:ind w:left="360"/>
        <w:rPr>
          <w:rFonts w:asciiTheme="minorHAnsi" w:eastAsiaTheme="minorEastAsia" w:hAnsiTheme="minorHAnsi"/>
          <w:color w:val="auto"/>
        </w:rPr>
      </w:pPr>
      <w:r w:rsidRPr="006B18A3">
        <w:rPr>
          <w:rFonts w:asciiTheme="minorHAnsi" w:eastAsiaTheme="minorEastAsia" w:hAnsiTheme="minorHAnsi"/>
          <w:color w:val="auto"/>
        </w:rPr>
        <w:lastRenderedPageBreak/>
        <w:t>Fan coil units are in scope of Regulation (EU) 2016/2281.</w:t>
      </w:r>
    </w:p>
    <w:p w:rsidR="00851954" w:rsidRPr="006B18A3" w:rsidRDefault="00851954" w:rsidP="00851954">
      <w:pPr>
        <w:pStyle w:val="Liststycke"/>
        <w:numPr>
          <w:ilvl w:val="0"/>
          <w:numId w:val="22"/>
        </w:numPr>
        <w:rPr>
          <w:b/>
          <w:i/>
        </w:rPr>
      </w:pPr>
      <w:r w:rsidRPr="006B18A3">
        <w:rPr>
          <w:b/>
          <w:i/>
        </w:rPr>
        <w:t xml:space="preserve">What is the “extended period, as declared by the manufacturer” described in Article 2 points (27) and (29) of the Ecodesign Regulation (EU) 2015/1188 or the “extended period, as declared by the supplier” in Article 2 point (26) of the Energy Labelling Regulation 2015/1186? </w:t>
      </w:r>
    </w:p>
    <w:p w:rsidR="00851954" w:rsidRDefault="00851954" w:rsidP="00851954">
      <w:pPr>
        <w:pStyle w:val="Default"/>
        <w:spacing w:after="240"/>
        <w:ind w:left="360"/>
        <w:rPr>
          <w:rFonts w:asciiTheme="minorHAnsi" w:eastAsiaTheme="minorEastAsia" w:hAnsiTheme="minorHAnsi"/>
          <w:color w:val="auto"/>
        </w:rPr>
      </w:pPr>
      <w:r w:rsidRPr="006B18A3">
        <w:rPr>
          <w:rFonts w:asciiTheme="minorHAnsi" w:eastAsiaTheme="minorEastAsia" w:hAnsiTheme="minorHAnsi"/>
          <w:color w:val="auto"/>
        </w:rPr>
        <w:t xml:space="preserve">The aim of the “extended period” is to include cases where there is a boost function </w:t>
      </w:r>
      <w:r w:rsidR="00F423FD">
        <w:rPr>
          <w:rFonts w:asciiTheme="minorHAnsi" w:eastAsiaTheme="minorEastAsia" w:hAnsiTheme="minorHAnsi"/>
          <w:color w:val="auto"/>
        </w:rPr>
        <w:t>on</w:t>
      </w:r>
      <w:r w:rsidR="00F423FD" w:rsidRPr="00F423FD">
        <w:rPr>
          <w:rFonts w:asciiTheme="minorHAnsi" w:eastAsiaTheme="minorEastAsia" w:hAnsiTheme="minorHAnsi"/>
          <w:color w:val="auto"/>
        </w:rPr>
        <w:t xml:space="preserve"> </w:t>
      </w:r>
      <w:r w:rsidRPr="00620766">
        <w:rPr>
          <w:rFonts w:asciiTheme="minorHAnsi" w:eastAsiaTheme="minorEastAsia" w:hAnsiTheme="minorHAnsi"/>
          <w:color w:val="auto"/>
        </w:rPr>
        <w:t>the electric local space heater that allows having a higher heat output that can be maintained continuously for a certain period of t</w:t>
      </w:r>
      <w:r w:rsidRPr="006B18A3">
        <w:rPr>
          <w:rFonts w:asciiTheme="minorHAnsi" w:eastAsiaTheme="minorEastAsia" w:hAnsiTheme="minorHAnsi"/>
          <w:color w:val="auto"/>
        </w:rPr>
        <w:t>ime.</w:t>
      </w:r>
    </w:p>
    <w:p w:rsidR="003F72EC" w:rsidRDefault="003F72EC" w:rsidP="003F72EC">
      <w:pPr>
        <w:pStyle w:val="Liststycke"/>
        <w:numPr>
          <w:ilvl w:val="0"/>
          <w:numId w:val="22"/>
        </w:numPr>
        <w:rPr>
          <w:b/>
          <w:i/>
        </w:rPr>
      </w:pPr>
      <w:r w:rsidRPr="003F72EC">
        <w:rPr>
          <w:b/>
          <w:i/>
        </w:rPr>
        <w:t>Are flueless local space heaters in scope of the regulation?</w:t>
      </w:r>
    </w:p>
    <w:p w:rsidR="003F72EC" w:rsidRPr="003F72EC" w:rsidRDefault="003F72EC" w:rsidP="003F72EC">
      <w:pPr>
        <w:pStyle w:val="Default"/>
        <w:spacing w:after="240"/>
        <w:ind w:left="360"/>
        <w:rPr>
          <w:rFonts w:asciiTheme="minorHAnsi" w:eastAsiaTheme="minorEastAsia" w:hAnsiTheme="minorHAnsi"/>
          <w:color w:val="auto"/>
        </w:rPr>
      </w:pPr>
      <w:r w:rsidRPr="003F72EC">
        <w:rPr>
          <w:rFonts w:asciiTheme="minorHAnsi" w:eastAsiaTheme="minorEastAsia" w:hAnsiTheme="minorHAnsi"/>
          <w:color w:val="auto"/>
        </w:rPr>
        <w:t>If a flueless heater is able to heat indoor space to reach and maintain a certain thermal comfort of human beings by means of heat convection or heat radiation, it is in the scope of the regulations and has to comply with</w:t>
      </w:r>
      <w:r>
        <w:rPr>
          <w:rFonts w:asciiTheme="minorHAnsi" w:eastAsiaTheme="minorEastAsia" w:hAnsiTheme="minorHAnsi"/>
          <w:color w:val="auto"/>
        </w:rPr>
        <w:t xml:space="preserve"> t</w:t>
      </w:r>
      <w:r w:rsidRPr="003F72EC">
        <w:rPr>
          <w:rFonts w:asciiTheme="minorHAnsi" w:eastAsiaTheme="minorEastAsia" w:hAnsiTheme="minorHAnsi"/>
          <w:color w:val="auto"/>
        </w:rPr>
        <w:t xml:space="preserve">he information requirements specified in the ecodesign regulation and the labelling requirements in the energy labelling regulation. </w:t>
      </w:r>
    </w:p>
    <w:p w:rsidR="003F72EC" w:rsidRPr="003F72EC" w:rsidRDefault="003F72EC" w:rsidP="003F72EC">
      <w:pPr>
        <w:pStyle w:val="Default"/>
        <w:spacing w:after="240"/>
        <w:ind w:left="360"/>
        <w:rPr>
          <w:rFonts w:asciiTheme="minorHAnsi" w:eastAsiaTheme="minorEastAsia" w:hAnsiTheme="minorHAnsi"/>
          <w:color w:val="auto"/>
        </w:rPr>
      </w:pPr>
      <w:r w:rsidRPr="003F72EC">
        <w:rPr>
          <w:rFonts w:asciiTheme="minorHAnsi" w:eastAsiaTheme="minorEastAsia" w:hAnsiTheme="minorHAnsi"/>
          <w:color w:val="auto"/>
        </w:rPr>
        <w:t xml:space="preserve">If the flueless is not able to heat indoor space to heat indoor space to reach and maintain a certain thermal comfort of human beings by means of heat convection or heat radiation', e.g. a decorative flueless heater, it is exempted from the regulation by art 1. (b) of both regulations. </w:t>
      </w:r>
    </w:p>
    <w:p w:rsidR="00E75A8A" w:rsidRPr="006B18A3" w:rsidRDefault="00E75A8A" w:rsidP="00E75A8A">
      <w:pPr>
        <w:rPr>
          <w:b/>
          <w:i/>
        </w:rPr>
      </w:pPr>
      <w:r w:rsidRPr="006B18A3">
        <w:rPr>
          <w:b/>
          <w:i/>
        </w:rPr>
        <w:t>Measurement and calculation</w:t>
      </w:r>
    </w:p>
    <w:p w:rsidR="00130562" w:rsidRPr="006B18A3" w:rsidRDefault="00130562" w:rsidP="00130562">
      <w:pPr>
        <w:pStyle w:val="Liststycke"/>
        <w:numPr>
          <w:ilvl w:val="0"/>
          <w:numId w:val="22"/>
        </w:numPr>
        <w:contextualSpacing w:val="0"/>
        <w:jc w:val="left"/>
      </w:pPr>
      <w:r w:rsidRPr="006B18A3">
        <w:rPr>
          <w:b/>
          <w:i/>
        </w:rPr>
        <w:t>Can correction factors for electric local space heaters be claimed if the control is not provided with the appliance?</w:t>
      </w:r>
      <w:r w:rsidRPr="006B18A3">
        <w:t xml:space="preserve"> </w:t>
      </w:r>
    </w:p>
    <w:p w:rsidR="00130562" w:rsidRPr="00F423FD" w:rsidRDefault="00F423FD" w:rsidP="00130562">
      <w:pPr>
        <w:ind w:left="360"/>
      </w:pPr>
      <w:r>
        <w:t>A</w:t>
      </w:r>
      <w:r w:rsidRPr="00D1212D">
        <w:t>s per the definitions,</w:t>
      </w:r>
      <w:r>
        <w:t xml:space="preserve"> t</w:t>
      </w:r>
      <w:r w:rsidR="00130562" w:rsidRPr="00F423FD">
        <w:t>he product needs to be “equipped” with the controls when placed on the market</w:t>
      </w:r>
      <w:r>
        <w:t>. This means that</w:t>
      </w:r>
      <w:r w:rsidR="00130562" w:rsidRPr="00F423FD">
        <w:t xml:space="preserve"> the control can be external, but it needs to be provided with the product in order to claim the bonus; the packaging does not need to be the same. </w:t>
      </w:r>
    </w:p>
    <w:p w:rsidR="00557934" w:rsidRPr="006B18A3" w:rsidRDefault="00557934" w:rsidP="00557934">
      <w:pPr>
        <w:pStyle w:val="Liststycke"/>
        <w:numPr>
          <w:ilvl w:val="0"/>
          <w:numId w:val="22"/>
        </w:numPr>
        <w:contextualSpacing w:val="0"/>
        <w:jc w:val="left"/>
        <w:rPr>
          <w:b/>
          <w:i/>
        </w:rPr>
      </w:pPr>
      <w:r w:rsidRPr="00620766">
        <w:rPr>
          <w:b/>
          <w:i/>
        </w:rPr>
        <w:t>Can an appliance equipped with an electronic room temperature c</w:t>
      </w:r>
      <w:r w:rsidRPr="006B18A3">
        <w:rPr>
          <w:b/>
          <w:i/>
        </w:rPr>
        <w:t xml:space="preserve">ontrol integrated in the product and sold with a connection function to a programmable external user interface through a remote connection (wire or wireless) allowing each connected product to be operated on </w:t>
      </w:r>
      <w:r w:rsidR="001820C1" w:rsidRPr="006B18A3">
        <w:rPr>
          <w:b/>
          <w:i/>
        </w:rPr>
        <w:t>e.g. a weekly basis</w:t>
      </w:r>
      <w:r w:rsidRPr="006B18A3">
        <w:rPr>
          <w:b/>
          <w:i/>
        </w:rPr>
        <w:t xml:space="preserve"> (week timer), </w:t>
      </w:r>
      <w:r w:rsidR="002C58D5" w:rsidRPr="006B18A3">
        <w:rPr>
          <w:b/>
          <w:i/>
        </w:rPr>
        <w:t>be considered as complying with</w:t>
      </w:r>
      <w:r w:rsidRPr="006B18A3">
        <w:rPr>
          <w:b/>
          <w:i/>
        </w:rPr>
        <w:t xml:space="preserve"> the definition </w:t>
      </w:r>
      <w:r w:rsidR="002C58D5" w:rsidRPr="006B18A3">
        <w:rPr>
          <w:b/>
          <w:i/>
        </w:rPr>
        <w:t xml:space="preserve">for </w:t>
      </w:r>
      <w:r w:rsidRPr="006B18A3">
        <w:rPr>
          <w:b/>
          <w:i/>
        </w:rPr>
        <w:t>“with electronic room temperature control</w:t>
      </w:r>
      <w:r w:rsidR="001820C1" w:rsidRPr="006B18A3">
        <w:rPr>
          <w:b/>
          <w:i/>
        </w:rPr>
        <w:t xml:space="preserve"> plus week timer</w:t>
      </w:r>
      <w:r w:rsidRPr="006B18A3">
        <w:rPr>
          <w:b/>
          <w:i/>
        </w:rPr>
        <w:t>”?</w:t>
      </w:r>
    </w:p>
    <w:p w:rsidR="00557934" w:rsidRPr="00620766" w:rsidRDefault="00557934" w:rsidP="00557934">
      <w:pPr>
        <w:ind w:left="360"/>
      </w:pPr>
      <w:r w:rsidRPr="006B18A3">
        <w:t xml:space="preserve">When the electronic room temperature control of the unit is integrated in the product and when the external part is merely a user interface (e.g. app on a phone), it can be considered that the product is 'equipped with electronic room temperature control'. At this point, the user interface can </w:t>
      </w:r>
      <w:r w:rsidR="00F423FD">
        <w:t>control</w:t>
      </w:r>
      <w:r w:rsidR="00F423FD" w:rsidRPr="00F423FD">
        <w:t xml:space="preserve"> </w:t>
      </w:r>
      <w:r w:rsidRPr="00F423FD">
        <w:t>several products, given that the control itself is integrated in each separate</w:t>
      </w:r>
      <w:r w:rsidRPr="00620766">
        <w:t xml:space="preserve"> product.</w:t>
      </w:r>
    </w:p>
    <w:p w:rsidR="00557934" w:rsidRPr="006B18A3" w:rsidRDefault="00557934" w:rsidP="00557934">
      <w:pPr>
        <w:ind w:left="360"/>
      </w:pPr>
      <w:r w:rsidRPr="006B18A3">
        <w:t xml:space="preserve">In case the manufacturer claims a correction factor F(2) or F(3), but the control cannot be operated as per the claimed correction factors without the user interface, the instruction manuals for installers and end-users need to clearly mention that the unit is </w:t>
      </w:r>
      <w:r w:rsidRPr="006B18A3">
        <w:lastRenderedPageBreak/>
        <w:t xml:space="preserve">to be installed with the user interface and need to include a description on how to install </w:t>
      </w:r>
      <w:r w:rsidR="009A642A" w:rsidRPr="006B18A3">
        <w:t>it</w:t>
      </w:r>
      <w:r w:rsidRPr="006B18A3">
        <w:t xml:space="preserve">. </w:t>
      </w:r>
    </w:p>
    <w:p w:rsidR="00F02AE4" w:rsidRPr="006B18A3" w:rsidRDefault="009A642A" w:rsidP="00F02AE4">
      <w:pPr>
        <w:pStyle w:val="Liststycke"/>
        <w:numPr>
          <w:ilvl w:val="0"/>
          <w:numId w:val="22"/>
        </w:numPr>
        <w:rPr>
          <w:b/>
          <w:i/>
        </w:rPr>
      </w:pPr>
      <w:r w:rsidRPr="006B18A3">
        <w:rPr>
          <w:b/>
          <w:i/>
        </w:rPr>
        <w:t>Does</w:t>
      </w:r>
      <w:r w:rsidR="00F02AE4" w:rsidRPr="006B18A3">
        <w:rPr>
          <w:b/>
          <w:i/>
        </w:rPr>
        <w:t xml:space="preserve"> a product without display, but equipped </w:t>
      </w:r>
      <w:r w:rsidRPr="006B18A3">
        <w:rPr>
          <w:b/>
          <w:i/>
        </w:rPr>
        <w:t>with</w:t>
      </w:r>
      <w:r w:rsidR="00F02AE4" w:rsidRPr="006B18A3">
        <w:rPr>
          <w:b/>
          <w:i/>
        </w:rPr>
        <w:t xml:space="preserve"> a daily programming function</w:t>
      </w:r>
      <w:r w:rsidRPr="006B18A3">
        <w:rPr>
          <w:b/>
          <w:i/>
        </w:rPr>
        <w:t xml:space="preserve"> </w:t>
      </w:r>
      <w:r w:rsidR="00F02AE4" w:rsidRPr="006B18A3">
        <w:rPr>
          <w:b/>
          <w:i/>
        </w:rPr>
        <w:t>(e.g. heater programmed manually by choos</w:t>
      </w:r>
      <w:r w:rsidRPr="006B18A3">
        <w:rPr>
          <w:b/>
          <w:i/>
        </w:rPr>
        <w:t>ing</w:t>
      </w:r>
      <w:r w:rsidR="00F02AE4" w:rsidRPr="006B18A3">
        <w:rPr>
          <w:b/>
          <w:i/>
        </w:rPr>
        <w:t xml:space="preserve"> between settings on day one; heater automatically repeats the</w:t>
      </w:r>
      <w:r w:rsidRPr="006B18A3">
        <w:rPr>
          <w:b/>
          <w:i/>
        </w:rPr>
        <w:t>se</w:t>
      </w:r>
      <w:r w:rsidR="00F02AE4" w:rsidRPr="006B18A3">
        <w:rPr>
          <w:b/>
          <w:i/>
        </w:rPr>
        <w:t xml:space="preserve"> settings on the following days)</w:t>
      </w:r>
      <w:r w:rsidRPr="006B18A3">
        <w:rPr>
          <w:b/>
          <w:i/>
        </w:rPr>
        <w:t xml:space="preserve"> comply with the definition 'with electronic room temperature control plus day timer'</w:t>
      </w:r>
      <w:r w:rsidR="00F02AE4" w:rsidRPr="006B18A3">
        <w:rPr>
          <w:b/>
          <w:i/>
        </w:rPr>
        <w:t>.</w:t>
      </w:r>
    </w:p>
    <w:p w:rsidR="00F02AE4" w:rsidRPr="00F423FD" w:rsidRDefault="009A642A" w:rsidP="00F02AE4">
      <w:pPr>
        <w:spacing w:before="240"/>
        <w:ind w:left="360"/>
      </w:pPr>
      <w:r w:rsidRPr="00F423FD">
        <w:t>Yes. T</w:t>
      </w:r>
      <w:r w:rsidR="00F02AE4" w:rsidRPr="00F423FD">
        <w:t xml:space="preserve">he definition of </w:t>
      </w:r>
      <w:r w:rsidR="00F423FD">
        <w:t>'</w:t>
      </w:r>
      <w:r w:rsidR="00F02AE4" w:rsidRPr="00F423FD">
        <w:t>with electronic room temperature control plus day timer</w:t>
      </w:r>
      <w:r w:rsidR="00F423FD">
        <w:t>'</w:t>
      </w:r>
      <w:r w:rsidR="00C04A7B" w:rsidRPr="00F423FD">
        <w:t xml:space="preserve"> in the regulations</w:t>
      </w:r>
      <w:r w:rsidRPr="00F423FD">
        <w:t xml:space="preserve"> </w:t>
      </w:r>
      <w:r w:rsidR="00C04A7B" w:rsidRPr="00F423FD">
        <w:t>does not specify manually/automatic, or with/without display</w:t>
      </w:r>
      <w:r w:rsidR="00F02AE4" w:rsidRPr="00F423FD">
        <w:t xml:space="preserve">. </w:t>
      </w:r>
    </w:p>
    <w:p w:rsidR="00F02AE4" w:rsidRPr="00F423FD" w:rsidRDefault="005F6536" w:rsidP="00F02AE4">
      <w:pPr>
        <w:pStyle w:val="Liststycke"/>
        <w:numPr>
          <w:ilvl w:val="0"/>
          <w:numId w:val="22"/>
        </w:numPr>
        <w:rPr>
          <w:b/>
          <w:i/>
        </w:rPr>
      </w:pPr>
      <w:r w:rsidRPr="006B18A3">
        <w:rPr>
          <w:b/>
          <w:i/>
        </w:rPr>
        <w:t>Does</w:t>
      </w:r>
      <w:r w:rsidR="00F02AE4" w:rsidRPr="006B18A3">
        <w:rPr>
          <w:b/>
          <w:i/>
        </w:rPr>
        <w:t xml:space="preserve"> a product without display but equipped with two weekly “factory pre-set” programs P1/P2 (user-selectable) </w:t>
      </w:r>
      <w:r w:rsidRPr="006B18A3">
        <w:rPr>
          <w:b/>
          <w:i/>
        </w:rPr>
        <w:t>comply with the definition</w:t>
      </w:r>
      <w:r w:rsidR="00F02AE4" w:rsidRPr="006B18A3">
        <w:rPr>
          <w:b/>
          <w:i/>
        </w:rPr>
        <w:t xml:space="preserve"> </w:t>
      </w:r>
      <w:r w:rsidR="00F02AE4" w:rsidRPr="00567FFD">
        <w:rPr>
          <w:b/>
          <w:i/>
        </w:rPr>
        <w:t>“</w:t>
      </w:r>
      <w:r w:rsidR="00C04A7B" w:rsidRPr="00567FFD">
        <w:rPr>
          <w:b/>
          <w:i/>
        </w:rPr>
        <w:t xml:space="preserve">with electronic room temperature </w:t>
      </w:r>
      <w:r w:rsidRPr="00F423FD">
        <w:rPr>
          <w:b/>
          <w:i/>
        </w:rPr>
        <w:t xml:space="preserve">control </w:t>
      </w:r>
      <w:r w:rsidR="00C04A7B" w:rsidRPr="00F423FD">
        <w:rPr>
          <w:b/>
          <w:i/>
        </w:rPr>
        <w:t>plus week timer</w:t>
      </w:r>
      <w:r w:rsidR="00F02AE4" w:rsidRPr="00F423FD">
        <w:rPr>
          <w:b/>
          <w:i/>
        </w:rPr>
        <w:t>”?</w:t>
      </w:r>
    </w:p>
    <w:p w:rsidR="00F02AE4" w:rsidRPr="00F423FD" w:rsidRDefault="005F6536" w:rsidP="00F02AE4">
      <w:pPr>
        <w:spacing w:before="240"/>
        <w:ind w:left="360"/>
        <w:rPr>
          <w:b/>
          <w:i/>
        </w:rPr>
      </w:pPr>
      <w:r w:rsidRPr="00F423FD">
        <w:t>Yes. The d</w:t>
      </w:r>
      <w:r w:rsidR="00F02AE4" w:rsidRPr="00F423FD">
        <w:t>efinition does not specify who should specify the settings and how many possibilities there should be.</w:t>
      </w:r>
      <w:r w:rsidR="00F02AE4" w:rsidRPr="00F423FD">
        <w:rPr>
          <w:b/>
          <w:i/>
        </w:rPr>
        <w:t xml:space="preserve"> </w:t>
      </w:r>
    </w:p>
    <w:p w:rsidR="002A49F0" w:rsidRPr="00567FFD" w:rsidRDefault="00DD6FB7" w:rsidP="00E44625">
      <w:pPr>
        <w:pStyle w:val="Liststycke"/>
        <w:numPr>
          <w:ilvl w:val="0"/>
          <w:numId w:val="22"/>
        </w:numPr>
        <w:rPr>
          <w:b/>
          <w:i/>
        </w:rPr>
      </w:pPr>
      <w:r w:rsidRPr="006B18A3">
        <w:rPr>
          <w:b/>
          <w:i/>
        </w:rPr>
        <w:t>When</w:t>
      </w:r>
      <w:r w:rsidR="002A49F0" w:rsidRPr="006B18A3">
        <w:rPr>
          <w:b/>
          <w:i/>
        </w:rPr>
        <w:t xml:space="preserve"> a product </w:t>
      </w:r>
      <w:r w:rsidRPr="006B18A3">
        <w:rPr>
          <w:b/>
          <w:i/>
        </w:rPr>
        <w:t xml:space="preserve">has no standby mode, does it mean that </w:t>
      </w:r>
      <w:r w:rsidR="002A49F0" w:rsidRPr="006B18A3">
        <w:rPr>
          <w:b/>
          <w:i/>
        </w:rPr>
        <w:t>F4 = 0, whatever is its power consumption?</w:t>
      </w:r>
    </w:p>
    <w:p w:rsidR="002A49F0" w:rsidRPr="00F423FD" w:rsidRDefault="002A49F0" w:rsidP="00DD6FB7">
      <w:pPr>
        <w:ind w:left="360"/>
      </w:pPr>
      <w:r w:rsidRPr="00F423FD">
        <w:t>For electrical space heaters:</w:t>
      </w:r>
    </w:p>
    <w:p w:rsidR="002A49F0" w:rsidRPr="00F423FD" w:rsidRDefault="00DD6FB7" w:rsidP="00DD6FB7">
      <w:pPr>
        <w:ind w:left="360"/>
      </w:pPr>
      <m:oMathPara>
        <m:oMath>
          <m:r>
            <m:rPr>
              <m:sty m:val="p"/>
            </m:rPr>
            <w:rPr>
              <w:rFonts w:ascii="Cambria Math" w:hAnsi="Cambria Math"/>
            </w:rPr>
            <m:t>F</m:t>
          </m:r>
          <m:d>
            <m:dPr>
              <m:ctrlPr>
                <w:rPr>
                  <w:rFonts w:ascii="Cambria Math" w:hAnsi="Cambria Math"/>
                </w:rPr>
              </m:ctrlPr>
            </m:dPr>
            <m:e>
              <m:r>
                <m:rPr>
                  <m:sty m:val="p"/>
                </m:rPr>
                <w:rPr>
                  <w:rFonts w:ascii="Cambria Math" w:hAnsi="Cambria Math"/>
                </w:rPr>
                <m:t>4</m:t>
              </m:r>
            </m:e>
          </m:d>
          <m:r>
            <m:rPr>
              <m:sty m:val="p"/>
            </m:rPr>
            <w:rPr>
              <w:rFonts w:ascii="Cambria Math" w:hAnsi="Cambria Math"/>
            </w:rPr>
            <m:t>=CC.</m:t>
          </m:r>
          <m:f>
            <m:fPr>
              <m:ctrlPr>
                <w:rPr>
                  <w:rFonts w:ascii="Cambria Math" w:hAnsi="Cambria Math"/>
                </w:rPr>
              </m:ctrlPr>
            </m:fPr>
            <m:num>
              <m:r>
                <m:rPr>
                  <m:sty m:val="p"/>
                </m:rPr>
                <w:rPr>
                  <w:rFonts w:ascii="Cambria Math" w:hAnsi="Cambria Math"/>
                </w:rPr>
                <m:t>a.</m:t>
              </m:r>
              <m:sSub>
                <m:sSubPr>
                  <m:ctrlPr>
                    <w:rPr>
                      <w:rFonts w:ascii="Cambria Math" w:hAnsi="Cambria Math"/>
                    </w:rPr>
                  </m:ctrlPr>
                </m:sSubPr>
                <m:e>
                  <m:r>
                    <m:rPr>
                      <m:sty m:val="p"/>
                    </m:rPr>
                    <w:rPr>
                      <w:rFonts w:ascii="Cambria Math" w:hAnsi="Cambria Math"/>
                    </w:rPr>
                    <m:t>el</m:t>
                  </m:r>
                </m:e>
                <m:sub>
                  <m:r>
                    <m:rPr>
                      <m:sty m:val="p"/>
                    </m:rPr>
                    <w:rPr>
                      <w:rFonts w:ascii="Cambria Math" w:hAnsi="Cambria Math"/>
                    </w:rPr>
                    <m:t>sb</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nom</m:t>
                  </m:r>
                </m:sub>
              </m:sSub>
            </m:den>
          </m:f>
          <m:r>
            <m:rPr>
              <m:sty m:val="p"/>
            </m:rPr>
            <w:rPr>
              <w:rFonts w:ascii="Cambria Math" w:hAnsi="Cambria Math"/>
            </w:rPr>
            <m:t>.100</m:t>
          </m:r>
          <m:d>
            <m:dPr>
              <m:begChr m:val="["/>
              <m:endChr m:val="]"/>
              <m:ctrlPr>
                <w:rPr>
                  <w:rFonts w:ascii="Cambria Math" w:hAnsi="Cambria Math"/>
                </w:rPr>
              </m:ctrlPr>
            </m:dPr>
            <m:e>
              <m:r>
                <m:rPr>
                  <m:sty m:val="p"/>
                </m:rPr>
                <w:rPr>
                  <w:rFonts w:ascii="Cambria Math" w:hAnsi="Cambria Math"/>
                </w:rPr>
                <m:t>%</m:t>
              </m:r>
            </m:e>
          </m:d>
        </m:oMath>
      </m:oMathPara>
    </w:p>
    <w:p w:rsidR="002A49F0" w:rsidRPr="00F423FD" w:rsidRDefault="002A49F0" w:rsidP="00DD6FB7">
      <w:pPr>
        <w:ind w:left="360"/>
      </w:pPr>
      <w:r w:rsidRPr="00F423FD">
        <w:t xml:space="preserve">If there is no standby mode </w:t>
      </w:r>
      <m:oMath>
        <m:sSub>
          <m:sSubPr>
            <m:ctrlPr>
              <w:rPr>
                <w:rFonts w:ascii="Cambria Math" w:hAnsi="Cambria Math"/>
              </w:rPr>
            </m:ctrlPr>
          </m:sSubPr>
          <m:e>
            <m:r>
              <m:rPr>
                <m:sty m:val="p"/>
              </m:rPr>
              <w:rPr>
                <w:rFonts w:ascii="Cambria Math" w:hAnsi="Cambria Math"/>
              </w:rPr>
              <m:t>el</m:t>
            </m:r>
          </m:e>
          <m:sub>
            <m:r>
              <m:rPr>
                <m:sty m:val="p"/>
              </m:rPr>
              <w:rPr>
                <w:rFonts w:ascii="Cambria Math" w:hAnsi="Cambria Math"/>
              </w:rPr>
              <m:t>sb</m:t>
            </m:r>
          </m:sub>
        </m:sSub>
      </m:oMath>
      <w:r w:rsidRPr="00F423FD">
        <w:t xml:space="preserve">=0, and consequently </w:t>
      </w:r>
      <m:oMath>
        <m:r>
          <m:rPr>
            <m:sty m:val="p"/>
          </m:rPr>
          <w:rPr>
            <w:rFonts w:ascii="Cambria Math" w:hAnsi="Cambria Math"/>
          </w:rPr>
          <m:t>F</m:t>
        </m:r>
        <m:d>
          <m:dPr>
            <m:ctrlPr>
              <w:rPr>
                <w:rFonts w:ascii="Cambria Math" w:hAnsi="Cambria Math"/>
              </w:rPr>
            </m:ctrlPr>
          </m:dPr>
          <m:e>
            <m:r>
              <m:rPr>
                <m:sty m:val="p"/>
              </m:rPr>
              <w:rPr>
                <w:rFonts w:ascii="Cambria Math" w:hAnsi="Cambria Math"/>
              </w:rPr>
              <m:t>4</m:t>
            </m:r>
          </m:e>
        </m:d>
      </m:oMath>
      <w:r w:rsidRPr="00F423FD">
        <w:t>=0.</w:t>
      </w:r>
    </w:p>
    <w:p w:rsidR="002A49F0" w:rsidRPr="00F423FD" w:rsidRDefault="002A49F0" w:rsidP="00DD6FB7">
      <w:pPr>
        <w:ind w:left="360"/>
      </w:pPr>
      <w:r w:rsidRPr="00F423FD">
        <w:t>For local space heaters using fuels:</w:t>
      </w:r>
    </w:p>
    <w:p w:rsidR="002A49F0" w:rsidRPr="00F423FD" w:rsidRDefault="002A49F0" w:rsidP="002A49F0">
      <w:pPr>
        <w:rPr>
          <w:i/>
        </w:rPr>
      </w:pPr>
      <m:oMathPara>
        <m:oMath>
          <m:r>
            <w:rPr>
              <w:rFonts w:ascii="Cambria Math" w:hAnsi="Cambria Math"/>
            </w:rPr>
            <m:t>F</m:t>
          </m:r>
          <m:d>
            <m:dPr>
              <m:ctrlPr>
                <w:rPr>
                  <w:rFonts w:ascii="Cambria Math" w:hAnsi="Cambria Math"/>
                  <w:i/>
                </w:rPr>
              </m:ctrlPr>
            </m:dPr>
            <m:e>
              <m:r>
                <w:rPr>
                  <w:rFonts w:ascii="Cambria Math" w:hAnsi="Cambria Math"/>
                </w:rPr>
                <m:t>4</m:t>
              </m:r>
            </m:e>
          </m:d>
          <m:r>
            <w:rPr>
              <w:rFonts w:ascii="Cambria Math" w:hAnsi="Cambria Math"/>
            </w:rPr>
            <m:t>=CC.</m:t>
          </m:r>
          <m:f>
            <m:fPr>
              <m:ctrlPr>
                <w:rPr>
                  <w:rFonts w:ascii="Cambria Math" w:hAnsi="Cambria Math"/>
                  <w:i/>
                </w:rPr>
              </m:ctrlPr>
            </m:fPr>
            <m:num>
              <m:r>
                <w:rPr>
                  <w:rFonts w:ascii="Cambria Math" w:hAnsi="Cambria Math"/>
                </w:rPr>
                <m:t>0,2.</m:t>
              </m:r>
              <m:sSub>
                <m:sSubPr>
                  <m:ctrlPr>
                    <w:rPr>
                      <w:rFonts w:ascii="Cambria Math" w:hAnsi="Cambria Math"/>
                      <w:i/>
                    </w:rPr>
                  </m:ctrlPr>
                </m:sSubPr>
                <m:e>
                  <m:r>
                    <w:rPr>
                      <w:rFonts w:ascii="Cambria Math" w:hAnsi="Cambria Math"/>
                    </w:rPr>
                    <m:t>el</m:t>
                  </m:r>
                </m:e>
                <m:sub>
                  <m:r>
                    <w:rPr>
                      <w:rFonts w:ascii="Cambria Math" w:hAnsi="Cambria Math"/>
                    </w:rPr>
                    <m:t>max</m:t>
                  </m:r>
                </m:sub>
              </m:sSub>
              <m:r>
                <w:rPr>
                  <w:rFonts w:ascii="Cambria Math" w:hAnsi="Cambria Math"/>
                </w:rPr>
                <m:t>+0,8.</m:t>
              </m:r>
              <m:sSub>
                <m:sSubPr>
                  <m:ctrlPr>
                    <w:rPr>
                      <w:rFonts w:ascii="Cambria Math" w:hAnsi="Cambria Math"/>
                      <w:i/>
                    </w:rPr>
                  </m:ctrlPr>
                </m:sSubPr>
                <m:e>
                  <m:r>
                    <w:rPr>
                      <w:rFonts w:ascii="Cambria Math" w:hAnsi="Cambria Math"/>
                    </w:rPr>
                    <m:t>el</m:t>
                  </m:r>
                </m:e>
                <m:sub>
                  <m:r>
                    <w:rPr>
                      <w:rFonts w:ascii="Cambria Math" w:hAnsi="Cambria Math"/>
                    </w:rPr>
                    <m:t>min</m:t>
                  </m:r>
                </m:sub>
              </m:sSub>
              <m:r>
                <w:rPr>
                  <w:rFonts w:ascii="Cambria Math" w:hAnsi="Cambria Math"/>
                </w:rPr>
                <m:t>+1,3.</m:t>
              </m:r>
              <m:sSub>
                <m:sSubPr>
                  <m:ctrlPr>
                    <w:rPr>
                      <w:rFonts w:ascii="Cambria Math" w:hAnsi="Cambria Math"/>
                      <w:i/>
                    </w:rPr>
                  </m:ctrlPr>
                </m:sSubPr>
                <m:e>
                  <m:r>
                    <w:rPr>
                      <w:rFonts w:ascii="Cambria Math" w:hAnsi="Cambria Math"/>
                    </w:rPr>
                    <m:t>el</m:t>
                  </m:r>
                </m:e>
                <m:sub>
                  <m:r>
                    <w:rPr>
                      <w:rFonts w:ascii="Cambria Math" w:hAnsi="Cambria Math"/>
                    </w:rPr>
                    <m:t>sb</m:t>
                  </m:r>
                </m:sub>
              </m:sSub>
            </m:num>
            <m:den>
              <m:sSub>
                <m:sSubPr>
                  <m:ctrlPr>
                    <w:rPr>
                      <w:rFonts w:ascii="Cambria Math" w:hAnsi="Cambria Math"/>
                      <w:i/>
                    </w:rPr>
                  </m:ctrlPr>
                </m:sSubPr>
                <m:e>
                  <m:r>
                    <w:rPr>
                      <w:rFonts w:ascii="Cambria Math" w:hAnsi="Cambria Math"/>
                    </w:rPr>
                    <m:t>P</m:t>
                  </m:r>
                </m:e>
                <m:sub>
                  <m:r>
                    <w:rPr>
                      <w:rFonts w:ascii="Cambria Math" w:hAnsi="Cambria Math"/>
                    </w:rPr>
                    <m:t>nom</m:t>
                  </m:r>
                </m:sub>
              </m:sSub>
            </m:den>
          </m:f>
          <m:r>
            <w:rPr>
              <w:rFonts w:ascii="Cambria Math" w:hAnsi="Cambria Math"/>
            </w:rPr>
            <m:t>.100</m:t>
          </m:r>
          <m:d>
            <m:dPr>
              <m:begChr m:val="["/>
              <m:endChr m:val="]"/>
              <m:ctrlPr>
                <w:rPr>
                  <w:rFonts w:ascii="Cambria Math" w:hAnsi="Cambria Math"/>
                  <w:i/>
                </w:rPr>
              </m:ctrlPr>
            </m:dPr>
            <m:e>
              <m:r>
                <w:rPr>
                  <w:rFonts w:ascii="Cambria Math" w:hAnsi="Cambria Math"/>
                </w:rPr>
                <m:t>%</m:t>
              </m:r>
            </m:e>
          </m:d>
        </m:oMath>
      </m:oMathPara>
    </w:p>
    <w:p w:rsidR="002A49F0" w:rsidRPr="00F423FD" w:rsidRDefault="002A49F0" w:rsidP="002A49F0"/>
    <w:p w:rsidR="002A49F0" w:rsidRPr="00F423FD" w:rsidRDefault="002A49F0" w:rsidP="00DD6FB7">
      <w:pPr>
        <w:ind w:left="360"/>
      </w:pPr>
      <w:r w:rsidRPr="00F423FD">
        <w:t xml:space="preserve">If there is no standby mode </w:t>
      </w:r>
      <m:oMath>
        <m:sSub>
          <m:sSubPr>
            <m:ctrlPr>
              <w:rPr>
                <w:rFonts w:ascii="Cambria Math" w:hAnsi="Cambria Math"/>
              </w:rPr>
            </m:ctrlPr>
          </m:sSubPr>
          <m:e>
            <m:r>
              <m:rPr>
                <m:sty m:val="p"/>
              </m:rPr>
              <w:rPr>
                <w:rFonts w:ascii="Cambria Math" w:hAnsi="Cambria Math"/>
              </w:rPr>
              <m:t>el</m:t>
            </m:r>
          </m:e>
          <m:sub>
            <m:r>
              <m:rPr>
                <m:sty m:val="p"/>
              </m:rPr>
              <w:rPr>
                <w:rFonts w:ascii="Cambria Math" w:hAnsi="Cambria Math"/>
              </w:rPr>
              <m:t>sb</m:t>
            </m:r>
          </m:sub>
        </m:sSub>
      </m:oMath>
      <w:r w:rsidRPr="00F423FD">
        <w:t xml:space="preserve">=0, </w:t>
      </w:r>
      <m:oMath>
        <m:r>
          <m:rPr>
            <m:sty m:val="p"/>
          </m:rPr>
          <w:rPr>
            <w:rFonts w:ascii="Cambria Math" w:hAnsi="Cambria Math"/>
          </w:rPr>
          <m:t>F</m:t>
        </m:r>
        <m:d>
          <m:dPr>
            <m:ctrlPr>
              <w:rPr>
                <w:rFonts w:ascii="Cambria Math" w:hAnsi="Cambria Math"/>
              </w:rPr>
            </m:ctrlPr>
          </m:dPr>
          <m:e>
            <m:r>
              <m:rPr>
                <m:sty m:val="p"/>
              </m:rPr>
              <w:rPr>
                <w:rFonts w:ascii="Cambria Math" w:hAnsi="Cambria Math"/>
              </w:rPr>
              <m:t>4</m:t>
            </m:r>
          </m:e>
        </m:d>
      </m:oMath>
      <w:r w:rsidRPr="00F423FD">
        <w:t xml:space="preserve">≠0 seeing that the auxiliary modes remain. </w:t>
      </w:r>
    </w:p>
    <w:p w:rsidR="002A49F0" w:rsidRPr="00567FFD" w:rsidRDefault="00DD6FB7" w:rsidP="00E44625">
      <w:pPr>
        <w:pStyle w:val="Liststycke"/>
        <w:numPr>
          <w:ilvl w:val="0"/>
          <w:numId w:val="22"/>
        </w:numPr>
        <w:rPr>
          <w:b/>
          <w:i/>
        </w:rPr>
      </w:pPr>
      <w:r w:rsidRPr="006B18A3">
        <w:rPr>
          <w:b/>
          <w:i/>
        </w:rPr>
        <w:t xml:space="preserve">In Annex III (f) of Regulation 2015/1188, </w:t>
      </w:r>
      <w:r w:rsidRPr="006B18A3">
        <w:rPr>
          <w:b/>
          <w:i/>
          <w:szCs w:val="19"/>
        </w:rPr>
        <w:t xml:space="preserve">α </w:t>
      </w:r>
      <w:r w:rsidRPr="006B18A3">
        <w:rPr>
          <w:b/>
          <w:i/>
        </w:rPr>
        <w:t xml:space="preserve">is by default 0 if the product complies with the limit values set in Regulation (EC) No 1275/2008. What are these limit values? </w:t>
      </w:r>
    </w:p>
    <w:p w:rsidR="002A49F0" w:rsidRPr="00F423FD" w:rsidRDefault="002A49F0" w:rsidP="00DD6FB7">
      <w:pPr>
        <w:ind w:left="360"/>
      </w:pPr>
      <w:r w:rsidRPr="00F423FD">
        <w:t>In the regulation there are limit values for standby and for off mode power consumption, see Annex II of Regulation (EU) No 1275/2008:</w:t>
      </w:r>
    </w:p>
    <w:tbl>
      <w:tblPr>
        <w:tblStyle w:val="Tabellrutnt"/>
        <w:tblW w:w="0" w:type="auto"/>
        <w:tblInd w:w="468" w:type="dxa"/>
        <w:tblLook w:val="04A0" w:firstRow="1" w:lastRow="0" w:firstColumn="1" w:lastColumn="0" w:noHBand="0" w:noVBand="1"/>
      </w:tblPr>
      <w:tblGrid>
        <w:gridCol w:w="2378"/>
        <w:gridCol w:w="4462"/>
        <w:gridCol w:w="1980"/>
      </w:tblGrid>
      <w:tr w:rsidR="002A49F0" w:rsidRPr="00F423FD" w:rsidTr="00DD6FB7">
        <w:tc>
          <w:tcPr>
            <w:tcW w:w="2378" w:type="dxa"/>
          </w:tcPr>
          <w:p w:rsidR="002A49F0" w:rsidRPr="00F423FD" w:rsidRDefault="002A49F0" w:rsidP="00DD6FB7">
            <w:pPr>
              <w:jc w:val="center"/>
            </w:pPr>
          </w:p>
        </w:tc>
        <w:tc>
          <w:tcPr>
            <w:tcW w:w="4462" w:type="dxa"/>
          </w:tcPr>
          <w:p w:rsidR="002A49F0" w:rsidRPr="00F423FD" w:rsidRDefault="002A49F0" w:rsidP="00DD6FB7">
            <w:pPr>
              <w:jc w:val="center"/>
            </w:pPr>
            <w:r w:rsidRPr="00F423FD">
              <w:t>Description</w:t>
            </w:r>
          </w:p>
        </w:tc>
        <w:tc>
          <w:tcPr>
            <w:tcW w:w="1980" w:type="dxa"/>
          </w:tcPr>
          <w:p w:rsidR="002A49F0" w:rsidRPr="00F423FD" w:rsidRDefault="002A49F0" w:rsidP="00DD6FB7">
            <w:pPr>
              <w:jc w:val="center"/>
            </w:pPr>
            <w:r w:rsidRPr="00F423FD">
              <w:t>Limit values</w:t>
            </w:r>
          </w:p>
        </w:tc>
      </w:tr>
      <w:tr w:rsidR="002A49F0" w:rsidRPr="00F423FD" w:rsidTr="00DD6FB7">
        <w:tc>
          <w:tcPr>
            <w:tcW w:w="2378" w:type="dxa"/>
          </w:tcPr>
          <w:p w:rsidR="002A49F0" w:rsidRPr="00F423FD" w:rsidRDefault="002A49F0" w:rsidP="00DD6FB7">
            <w:pPr>
              <w:spacing w:after="0"/>
              <w:jc w:val="center"/>
            </w:pPr>
            <w:r w:rsidRPr="00F423FD">
              <w:t>Off mode</w:t>
            </w:r>
          </w:p>
        </w:tc>
        <w:tc>
          <w:tcPr>
            <w:tcW w:w="4462" w:type="dxa"/>
          </w:tcPr>
          <w:p w:rsidR="002A49F0" w:rsidRPr="00F423FD" w:rsidRDefault="002A49F0" w:rsidP="00DD6FB7">
            <w:pPr>
              <w:spacing w:after="0"/>
              <w:jc w:val="center"/>
            </w:pPr>
            <w:r w:rsidRPr="00F423FD">
              <w:t>Power consumption of equipment in any off-mode condition</w:t>
            </w:r>
          </w:p>
        </w:tc>
        <w:tc>
          <w:tcPr>
            <w:tcW w:w="1980" w:type="dxa"/>
          </w:tcPr>
          <w:p w:rsidR="002A49F0" w:rsidRPr="00F423FD" w:rsidRDefault="002A49F0" w:rsidP="00DD6FB7">
            <w:pPr>
              <w:spacing w:after="0"/>
              <w:jc w:val="center"/>
            </w:pPr>
            <w:r w:rsidRPr="00F423FD">
              <w:t>0.5 W</w:t>
            </w:r>
          </w:p>
        </w:tc>
      </w:tr>
      <w:tr w:rsidR="002A49F0" w:rsidRPr="00F423FD" w:rsidTr="00DD6FB7">
        <w:tc>
          <w:tcPr>
            <w:tcW w:w="2378" w:type="dxa"/>
            <w:vMerge w:val="restart"/>
          </w:tcPr>
          <w:p w:rsidR="002A49F0" w:rsidRPr="00F423FD" w:rsidRDefault="002A49F0" w:rsidP="00DD6FB7">
            <w:pPr>
              <w:spacing w:after="0"/>
              <w:jc w:val="center"/>
            </w:pPr>
            <w:r w:rsidRPr="00F423FD">
              <w:t>Standby mode</w:t>
            </w:r>
          </w:p>
        </w:tc>
        <w:tc>
          <w:tcPr>
            <w:tcW w:w="4462" w:type="dxa"/>
          </w:tcPr>
          <w:p w:rsidR="002A49F0" w:rsidRPr="00F423FD" w:rsidRDefault="002A49F0" w:rsidP="00DD6FB7">
            <w:pPr>
              <w:spacing w:after="0"/>
              <w:jc w:val="center"/>
            </w:pPr>
            <w:r w:rsidRPr="00F423FD">
              <w:t xml:space="preserve">Power consumption of equipment in any condition providing only a reactivation function, or providing only a reactivation </w:t>
            </w:r>
            <w:r w:rsidRPr="00F423FD">
              <w:lastRenderedPageBreak/>
              <w:t>function and a mere indication of enabled reactivation function</w:t>
            </w:r>
          </w:p>
        </w:tc>
        <w:tc>
          <w:tcPr>
            <w:tcW w:w="1980" w:type="dxa"/>
          </w:tcPr>
          <w:p w:rsidR="002A49F0" w:rsidRPr="00F423FD" w:rsidRDefault="002A49F0" w:rsidP="00DD6FB7">
            <w:pPr>
              <w:spacing w:after="0"/>
              <w:jc w:val="center"/>
            </w:pPr>
            <w:r w:rsidRPr="00F423FD">
              <w:lastRenderedPageBreak/>
              <w:t>0.5 W</w:t>
            </w:r>
          </w:p>
          <w:p w:rsidR="002A49F0" w:rsidRPr="00F423FD" w:rsidRDefault="002A49F0" w:rsidP="00DD6FB7">
            <w:pPr>
              <w:spacing w:after="0"/>
              <w:jc w:val="center"/>
            </w:pPr>
          </w:p>
          <w:p w:rsidR="002A49F0" w:rsidRPr="00F423FD" w:rsidRDefault="002A49F0" w:rsidP="00DD6FB7">
            <w:pPr>
              <w:spacing w:after="0"/>
              <w:jc w:val="center"/>
            </w:pPr>
          </w:p>
        </w:tc>
      </w:tr>
      <w:tr w:rsidR="002A49F0" w:rsidRPr="006B18A3" w:rsidTr="00DD6FB7">
        <w:tc>
          <w:tcPr>
            <w:tcW w:w="2378" w:type="dxa"/>
            <w:vMerge/>
          </w:tcPr>
          <w:p w:rsidR="002A49F0" w:rsidRPr="00A97460" w:rsidRDefault="002A49F0" w:rsidP="00DD6FB7">
            <w:pPr>
              <w:spacing w:after="0"/>
              <w:jc w:val="center"/>
            </w:pPr>
          </w:p>
        </w:tc>
        <w:tc>
          <w:tcPr>
            <w:tcW w:w="4462" w:type="dxa"/>
          </w:tcPr>
          <w:p w:rsidR="002A49F0" w:rsidRPr="00A97460" w:rsidRDefault="002A49F0" w:rsidP="00DD6FB7">
            <w:pPr>
              <w:spacing w:after="0"/>
              <w:jc w:val="center"/>
            </w:pPr>
            <w:r w:rsidRPr="00A97460">
              <w:t>Power consumption of equipment in any condition providing only information or status display, or providing only a combination of a reactivation function and information or status display</w:t>
            </w:r>
          </w:p>
        </w:tc>
        <w:tc>
          <w:tcPr>
            <w:tcW w:w="1980" w:type="dxa"/>
          </w:tcPr>
          <w:p w:rsidR="002A49F0" w:rsidRPr="00A97460" w:rsidRDefault="002A49F0" w:rsidP="00DD6FB7">
            <w:pPr>
              <w:spacing w:after="0"/>
              <w:jc w:val="center"/>
            </w:pPr>
            <w:r w:rsidRPr="00A97460">
              <w:t>1 W</w:t>
            </w:r>
          </w:p>
        </w:tc>
      </w:tr>
    </w:tbl>
    <w:p w:rsidR="002A49F0" w:rsidRPr="00F423FD" w:rsidRDefault="002A49F0" w:rsidP="00DD6FB7">
      <w:pPr>
        <w:spacing w:before="240"/>
        <w:ind w:left="360"/>
      </w:pPr>
      <w:r w:rsidRPr="00F423FD">
        <w:t xml:space="preserve">For α to be 0, the product has to comply </w:t>
      </w:r>
      <w:r w:rsidR="00F423FD">
        <w:t>with</w:t>
      </w:r>
      <w:r w:rsidR="00F423FD" w:rsidRPr="00F423FD">
        <w:t xml:space="preserve"> </w:t>
      </w:r>
      <w:r w:rsidR="00DD6FB7" w:rsidRPr="00F423FD">
        <w:t>both the</w:t>
      </w:r>
      <w:r w:rsidRPr="00F423FD">
        <w:t xml:space="preserve"> limit values</w:t>
      </w:r>
      <w:r w:rsidR="00DD6FB7" w:rsidRPr="00F423FD">
        <w:t xml:space="preserve"> for off mode and standby mode</w:t>
      </w:r>
      <w:r w:rsidRPr="00F423FD">
        <w:t>.</w:t>
      </w:r>
    </w:p>
    <w:p w:rsidR="00557934" w:rsidRPr="00F423FD" w:rsidRDefault="00557934" w:rsidP="00557934">
      <w:pPr>
        <w:pStyle w:val="Liststycke"/>
        <w:numPr>
          <w:ilvl w:val="0"/>
          <w:numId w:val="22"/>
        </w:numPr>
        <w:contextualSpacing w:val="0"/>
        <w:jc w:val="left"/>
        <w:rPr>
          <w:b/>
          <w:i/>
        </w:rPr>
      </w:pPr>
      <w:r w:rsidRPr="006B18A3">
        <w:rPr>
          <w:b/>
          <w:i/>
        </w:rPr>
        <w:t xml:space="preserve">A local space heater </w:t>
      </w:r>
      <w:r w:rsidR="005F6536" w:rsidRPr="006B18A3">
        <w:rPr>
          <w:b/>
          <w:i/>
        </w:rPr>
        <w:t xml:space="preserve">with an electronic room temperature control </w:t>
      </w:r>
      <w:r w:rsidRPr="006B18A3">
        <w:rPr>
          <w:b/>
          <w:i/>
        </w:rPr>
        <w:t>will run in</w:t>
      </w:r>
      <w:r w:rsidRPr="00567FFD">
        <w:rPr>
          <w:b/>
          <w:i/>
        </w:rPr>
        <w:t xml:space="preserve"> transitional periods of thermostat on and thermostat off</w:t>
      </w:r>
      <w:r w:rsidR="005F6536" w:rsidRPr="00567FFD">
        <w:rPr>
          <w:b/>
          <w:i/>
        </w:rPr>
        <w:t>. D</w:t>
      </w:r>
      <w:r w:rsidRPr="00567FFD">
        <w:rPr>
          <w:b/>
          <w:i/>
        </w:rPr>
        <w:t>uring thermostat off the appliance is still operational</w:t>
      </w:r>
      <w:r w:rsidRPr="00F423FD">
        <w:rPr>
          <w:b/>
          <w:i/>
        </w:rPr>
        <w:t xml:space="preserve"> (Thermostat off periods are those periods when the unit is operating, but where there is no load in the building and hence the thermostat switches off).  Should these “off” periods considered as “stand by”? </w:t>
      </w:r>
    </w:p>
    <w:p w:rsidR="00A97460" w:rsidRDefault="00A97460" w:rsidP="005F6536">
      <w:pPr>
        <w:ind w:left="360"/>
      </w:pPr>
      <w:r>
        <w:t>T</w:t>
      </w:r>
      <w:r w:rsidR="005F6536" w:rsidRPr="00620766">
        <w:t xml:space="preserve">he standby mode </w:t>
      </w:r>
      <w:r>
        <w:t>only provides one of the following functions:</w:t>
      </w:r>
    </w:p>
    <w:p w:rsidR="00A97460" w:rsidRDefault="00A97460" w:rsidP="00265DC3">
      <w:pPr>
        <w:pStyle w:val="Liststycke"/>
        <w:numPr>
          <w:ilvl w:val="0"/>
          <w:numId w:val="31"/>
        </w:numPr>
      </w:pPr>
      <w:r>
        <w:t xml:space="preserve">a </w:t>
      </w:r>
      <w:r w:rsidR="00557934" w:rsidRPr="006B18A3">
        <w:t>reactivation function</w:t>
      </w:r>
      <w:r>
        <w:t xml:space="preserve"> with or without an indicat</w:t>
      </w:r>
      <w:r w:rsidR="00D05EC4">
        <w:t>or showing that this function is enabled</w:t>
      </w:r>
      <w:r>
        <w:t>;</w:t>
      </w:r>
    </w:p>
    <w:p w:rsidR="00557934" w:rsidRPr="00F423FD" w:rsidRDefault="00557934" w:rsidP="00265DC3">
      <w:pPr>
        <w:pStyle w:val="Liststycke"/>
        <w:numPr>
          <w:ilvl w:val="0"/>
          <w:numId w:val="31"/>
        </w:numPr>
      </w:pPr>
      <w:r w:rsidRPr="006B18A3">
        <w:t>and/or information or status display</w:t>
      </w:r>
      <w:r w:rsidR="005F6536" w:rsidRPr="006B18A3">
        <w:t xml:space="preserve"> .</w:t>
      </w:r>
    </w:p>
    <w:p w:rsidR="00557934" w:rsidRPr="006B18A3" w:rsidRDefault="00557934" w:rsidP="00557934">
      <w:pPr>
        <w:ind w:left="360"/>
      </w:pPr>
      <w:r w:rsidRPr="00620766">
        <w:t>Any mode that provides other functions than reactivation function, or reactivation function and only an indication of enabled reactivation function, and/or information or status display, is not considered as stan</w:t>
      </w:r>
      <w:r w:rsidRPr="006B18A3">
        <w:t>dby mode.</w:t>
      </w:r>
    </w:p>
    <w:p w:rsidR="002D2EA4" w:rsidRPr="006B18A3" w:rsidRDefault="002D2EA4" w:rsidP="002D2EA4">
      <w:pPr>
        <w:pStyle w:val="Liststycke"/>
        <w:numPr>
          <w:ilvl w:val="0"/>
          <w:numId w:val="22"/>
        </w:numPr>
        <w:contextualSpacing w:val="0"/>
        <w:rPr>
          <w:b/>
          <w:i/>
        </w:rPr>
      </w:pPr>
      <w:r w:rsidRPr="006B18A3">
        <w:rPr>
          <w:b/>
          <w:i/>
        </w:rPr>
        <w:t xml:space="preserve">Are the correction factors to be subtracted / summed as percentage points or percent of the </w:t>
      </w:r>
      <w:r w:rsidRPr="006B18A3">
        <w:rPr>
          <w:rFonts w:ascii="Symbol" w:hAnsi="Symbol"/>
          <w:b/>
          <w:i/>
        </w:rPr>
        <w:t></w:t>
      </w:r>
      <w:r w:rsidRPr="006B18A3">
        <w:rPr>
          <w:b/>
          <w:i/>
          <w:vertAlign w:val="subscript"/>
        </w:rPr>
        <w:t>son</w:t>
      </w:r>
      <w:r w:rsidRPr="006B18A3">
        <w:rPr>
          <w:b/>
          <w:i/>
        </w:rPr>
        <w:t xml:space="preserve"> value? </w:t>
      </w:r>
    </w:p>
    <w:p w:rsidR="005F6536" w:rsidRPr="006B18A3" w:rsidRDefault="005F6536" w:rsidP="005F6536">
      <w:pPr>
        <w:pStyle w:val="Liststycke"/>
        <w:ind w:left="360"/>
        <w:contextualSpacing w:val="0"/>
      </w:pPr>
      <w:r w:rsidRPr="006B18A3">
        <w:t>The correction factors are in percentage points.</w:t>
      </w:r>
    </w:p>
    <w:p w:rsidR="00130562" w:rsidRPr="006B18A3" w:rsidRDefault="00130562" w:rsidP="00130562">
      <w:pPr>
        <w:pStyle w:val="Liststycke"/>
        <w:numPr>
          <w:ilvl w:val="0"/>
          <w:numId w:val="22"/>
        </w:numPr>
        <w:contextualSpacing w:val="0"/>
        <w:rPr>
          <w:b/>
          <w:i/>
        </w:rPr>
      </w:pPr>
      <w:r w:rsidRPr="006B18A3">
        <w:rPr>
          <w:b/>
          <w:i/>
        </w:rPr>
        <w:t xml:space="preserve">If an electric radiant heaters is fixed, can the factors F(3) for radiant and fixed be accumulated? </w:t>
      </w:r>
    </w:p>
    <w:p w:rsidR="00130562" w:rsidRPr="006B18A3" w:rsidRDefault="00130562" w:rsidP="00130562">
      <w:pPr>
        <w:ind w:left="360"/>
      </w:pPr>
      <w:r w:rsidRPr="006B18A3">
        <w:t xml:space="preserve">An electric radiant local space heater is a separate class of local space heater in the regulation with separate requirements. </w:t>
      </w:r>
    </w:p>
    <w:p w:rsidR="00130562" w:rsidRPr="00F423FD" w:rsidRDefault="00130562" w:rsidP="00130562">
      <w:pPr>
        <w:ind w:left="360"/>
      </w:pPr>
      <w:r w:rsidRPr="006B18A3">
        <w:t xml:space="preserve">As such, when </w:t>
      </w:r>
      <w:r w:rsidR="00017B62" w:rsidRPr="006B18A3">
        <w:t>the</w:t>
      </w:r>
      <w:r w:rsidRPr="006B18A3">
        <w:t xml:space="preserve"> local space heater falls under the definition of radiant local space heaters, it does not matter whether it is fixed or portable, the requirements for a radiant local space heater appl</w:t>
      </w:r>
      <w:r w:rsidR="00F423FD">
        <w:t>y</w:t>
      </w:r>
      <w:r w:rsidRPr="00F423FD">
        <w:t xml:space="preserve">. </w:t>
      </w:r>
    </w:p>
    <w:p w:rsidR="00130562" w:rsidRPr="00620766" w:rsidRDefault="00130562" w:rsidP="00130562">
      <w:pPr>
        <w:ind w:left="360"/>
      </w:pPr>
      <w:r w:rsidRPr="00F423FD">
        <w:t xml:space="preserve">In </w:t>
      </w:r>
      <w:r w:rsidR="00F423FD">
        <w:t>view</w:t>
      </w:r>
      <w:r w:rsidR="00F423FD" w:rsidRPr="00F423FD">
        <w:t xml:space="preserve"> </w:t>
      </w:r>
      <w:r w:rsidRPr="00F423FD">
        <w:t>of Annex III, Table 8,</w:t>
      </w:r>
      <w:r w:rsidR="00017B62" w:rsidRPr="00F423FD">
        <w:t xml:space="preserve"> of Regulation 2015/1188</w:t>
      </w:r>
      <w:r w:rsidR="00F423FD">
        <w:t>,</w:t>
      </w:r>
      <w:r w:rsidRPr="00F423FD">
        <w:t xml:space="preserve"> this means that for a radiant local space heater, only the F(3) factor for radiant heaters applies (e.g. for radiant </w:t>
      </w:r>
      <w:r w:rsidRPr="00620766">
        <w:t>local space heater with distance control option i.e. 1%)</w:t>
      </w:r>
      <w:r w:rsidR="00620766">
        <w:t xml:space="preserve"> and that</w:t>
      </w:r>
      <w:r w:rsidRPr="00620766">
        <w:t xml:space="preserve"> cumulating the F(3) factors for different type of heaters is not allowed.  </w:t>
      </w:r>
    </w:p>
    <w:p w:rsidR="00130562" w:rsidRPr="00620766" w:rsidRDefault="00130562" w:rsidP="00130562">
      <w:pPr>
        <w:ind w:left="360"/>
      </w:pPr>
      <w:r w:rsidRPr="006B18A3">
        <w:lastRenderedPageBreak/>
        <w:t>On the other hand, cumulating the different control options in Table 8 is</w:t>
      </w:r>
      <w:r w:rsidR="00017B62" w:rsidRPr="006B18A3">
        <w:t xml:space="preserve"> allowed in the regulation. If the radiant</w:t>
      </w:r>
      <w:r w:rsidRPr="006B18A3">
        <w:t xml:space="preserve"> heater</w:t>
      </w:r>
      <w:r w:rsidR="00017B62" w:rsidRPr="006B18A3">
        <w:t xml:space="preserve"> has e.g. a</w:t>
      </w:r>
      <w:r w:rsidRPr="006B18A3">
        <w:t xml:space="preserve"> distance control option and a room temperature control with open window detection, then the F(3) would be 1%</w:t>
      </w:r>
      <w:r w:rsidR="00620766">
        <w:t xml:space="preserve"> </w:t>
      </w:r>
      <w:r w:rsidRPr="00620766">
        <w:t>+</w:t>
      </w:r>
      <w:r w:rsidR="00620766">
        <w:t xml:space="preserve"> </w:t>
      </w:r>
      <w:r w:rsidRPr="00620766">
        <w:t xml:space="preserve">1%. </w:t>
      </w:r>
    </w:p>
    <w:p w:rsidR="00130562" w:rsidRPr="006B18A3" w:rsidRDefault="00130562" w:rsidP="00130562">
      <w:pPr>
        <w:pStyle w:val="Liststycke"/>
        <w:numPr>
          <w:ilvl w:val="0"/>
          <w:numId w:val="22"/>
        </w:numPr>
        <w:contextualSpacing w:val="0"/>
        <w:rPr>
          <w:b/>
          <w:i/>
        </w:rPr>
      </w:pPr>
      <w:r w:rsidRPr="006B18A3">
        <w:rPr>
          <w:b/>
          <w:i/>
        </w:rPr>
        <w:t>Should portable appliances sold with features which can be used to fix it on a wall have to comply with ecodesign requirements applicable to fixed room heaters? Should a fixed appliance sold with a kit of castors be considered as a portable?</w:t>
      </w:r>
    </w:p>
    <w:p w:rsidR="00D53DFC" w:rsidRPr="00620766" w:rsidRDefault="00D53DFC" w:rsidP="00D53DFC">
      <w:pPr>
        <w:ind w:left="360"/>
      </w:pPr>
      <w:r w:rsidRPr="006B18A3">
        <w:t>The classification of the electric local space heater is dependent on its intended use and how it is marketed (in the catalogues, leaflets, etc</w:t>
      </w:r>
      <w:r w:rsidR="00620766">
        <w:t>.</w:t>
      </w:r>
      <w:r w:rsidRPr="00620766">
        <w:t xml:space="preserve">). </w:t>
      </w:r>
    </w:p>
    <w:p w:rsidR="00D53DFC" w:rsidRPr="006B18A3" w:rsidRDefault="00D53DFC" w:rsidP="00D53DFC">
      <w:pPr>
        <w:ind w:left="360"/>
      </w:pPr>
      <w:r w:rsidRPr="006B18A3">
        <w:t xml:space="preserve">If the product is marketed as a local space heater that can be used either as a portable or as a fixed local space heater, then it has to comply with the most stringent requirements, i.e. these of the fixed local space heaters. For purposes of compliance with the regulation, this product is an electric fixed local space heater. </w:t>
      </w:r>
    </w:p>
    <w:p w:rsidR="00D53DFC" w:rsidRPr="006B18A3" w:rsidRDefault="00D53DFC" w:rsidP="00D53DFC">
      <w:pPr>
        <w:ind w:left="360"/>
      </w:pPr>
      <w:r w:rsidRPr="006B18A3">
        <w:t xml:space="preserve">If the product is marketed as a fixed product, it is an electric fixed local space heater as per the regulation and has to comply with the corresponding requirements. </w:t>
      </w:r>
    </w:p>
    <w:p w:rsidR="00D53DFC" w:rsidRPr="006B18A3" w:rsidRDefault="00D53DFC" w:rsidP="00D53DFC">
      <w:pPr>
        <w:ind w:left="360"/>
      </w:pPr>
      <w:r w:rsidRPr="006B18A3">
        <w:t xml:space="preserve">If the product is marketed as a portable product, it is an electric portable local space heater as per the regulation and has to comply with the corresponding requirements. </w:t>
      </w:r>
    </w:p>
    <w:p w:rsidR="00DC3260" w:rsidRPr="006B18A3" w:rsidRDefault="00DC3260" w:rsidP="00DC3260">
      <w:pPr>
        <w:pStyle w:val="Liststycke"/>
        <w:numPr>
          <w:ilvl w:val="0"/>
          <w:numId w:val="22"/>
        </w:numPr>
        <w:contextualSpacing w:val="0"/>
        <w:rPr>
          <w:b/>
          <w:i/>
        </w:rPr>
      </w:pPr>
      <w:r w:rsidRPr="006B18A3">
        <w:rPr>
          <w:b/>
          <w:i/>
        </w:rPr>
        <w:t>Does an electric fixed radiant local space heater have to comply with the requirements of an electric radiant local space heater or an electric fixed local space heater?</w:t>
      </w:r>
    </w:p>
    <w:p w:rsidR="004C2914" w:rsidRPr="006B18A3" w:rsidRDefault="004C2914" w:rsidP="004C2914">
      <w:pPr>
        <w:spacing w:after="0"/>
        <w:ind w:left="360"/>
        <w:jc w:val="left"/>
      </w:pPr>
      <w:r w:rsidRPr="006B18A3">
        <w:t xml:space="preserve">The requirements for electric radiant space heaters are applicable to all types of electric radiant space heaters independent of whether they are fixed or portable. </w:t>
      </w:r>
    </w:p>
    <w:p w:rsidR="004C2914" w:rsidRPr="006B18A3" w:rsidRDefault="004C2914" w:rsidP="004C2914">
      <w:pPr>
        <w:spacing w:after="0"/>
        <w:ind w:left="360"/>
        <w:jc w:val="left"/>
      </w:pPr>
    </w:p>
    <w:p w:rsidR="00C021C2" w:rsidRPr="006B18A3" w:rsidRDefault="00C021C2" w:rsidP="00C021C2">
      <w:pPr>
        <w:rPr>
          <w:b/>
          <w:i/>
        </w:rPr>
      </w:pPr>
      <w:r w:rsidRPr="006B18A3">
        <w:rPr>
          <w:b/>
          <w:i/>
        </w:rPr>
        <w:t>Information requirements</w:t>
      </w:r>
    </w:p>
    <w:p w:rsidR="002A49F0" w:rsidRPr="006B18A3" w:rsidRDefault="002A49F0" w:rsidP="00830EC0">
      <w:pPr>
        <w:pStyle w:val="Liststycke"/>
        <w:numPr>
          <w:ilvl w:val="0"/>
          <w:numId w:val="22"/>
        </w:numPr>
        <w:contextualSpacing w:val="0"/>
        <w:rPr>
          <w:b/>
          <w:i/>
        </w:rPr>
      </w:pPr>
      <w:r w:rsidRPr="006B18A3">
        <w:rPr>
          <w:b/>
          <w:i/>
        </w:rPr>
        <w:t xml:space="preserve">How to manage the technical documentation and information for hybrid </w:t>
      </w:r>
      <w:r w:rsidR="001D5AD4" w:rsidRPr="006B18A3">
        <w:rPr>
          <w:b/>
          <w:i/>
        </w:rPr>
        <w:t xml:space="preserve">solid fuel local space heaters </w:t>
      </w:r>
      <w:r w:rsidRPr="006B18A3">
        <w:rPr>
          <w:b/>
          <w:i/>
        </w:rPr>
        <w:t xml:space="preserve">(e.g. pellets + wood logs or wood logs + coal)? </w:t>
      </w:r>
    </w:p>
    <w:p w:rsidR="00827050" w:rsidRPr="006B18A3" w:rsidRDefault="001D5AD4" w:rsidP="00827050">
      <w:pPr>
        <w:pStyle w:val="Liststycke"/>
        <w:ind w:left="360"/>
        <w:contextualSpacing w:val="0"/>
      </w:pPr>
      <w:r w:rsidRPr="006B18A3">
        <w:t xml:space="preserve">The regulation </w:t>
      </w:r>
      <w:r w:rsidR="00827050" w:rsidRPr="006B18A3">
        <w:t>defines in article 2, (14) of regulation (EU) 2015/1185 the concept of 'preferred fuel'.</w:t>
      </w:r>
    </w:p>
    <w:p w:rsidR="00827050" w:rsidRPr="006B18A3" w:rsidRDefault="00827050" w:rsidP="00827050">
      <w:pPr>
        <w:pStyle w:val="Liststycke"/>
        <w:ind w:left="360"/>
        <w:contextualSpacing w:val="0"/>
      </w:pPr>
      <w:r w:rsidRPr="006B18A3">
        <w:t xml:space="preserve">In Table 1, several type of fuels are identified, including some blended fuels. </w:t>
      </w:r>
    </w:p>
    <w:p w:rsidR="006B0FA0" w:rsidRPr="006B18A3" w:rsidRDefault="00827050" w:rsidP="00827050">
      <w:pPr>
        <w:pStyle w:val="Liststycke"/>
        <w:ind w:left="360"/>
        <w:contextualSpacing w:val="0"/>
      </w:pPr>
      <w:r w:rsidRPr="006B18A3">
        <w:t xml:space="preserve">The manufacturer </w:t>
      </w:r>
      <w:r w:rsidR="006B0FA0" w:rsidRPr="006B18A3">
        <w:t>needs</w:t>
      </w:r>
      <w:r w:rsidRPr="006B18A3">
        <w:t xml:space="preserve"> to select one of the specified fuels as preferred fuel. </w:t>
      </w:r>
    </w:p>
    <w:p w:rsidR="006B0FA0" w:rsidRPr="006B18A3" w:rsidRDefault="006B0FA0" w:rsidP="006B0FA0">
      <w:pPr>
        <w:pStyle w:val="Liststycke"/>
        <w:ind w:left="360"/>
        <w:contextualSpacing w:val="0"/>
      </w:pPr>
      <w:r w:rsidRPr="006B18A3">
        <w:t xml:space="preserve">In Table 1, the parameters </w:t>
      </w:r>
      <w:r w:rsidRPr="006B18A3">
        <w:rPr>
          <w:rFonts w:ascii="Symbol" w:hAnsi="Symbol"/>
        </w:rPr>
        <w:t></w:t>
      </w:r>
      <w:r w:rsidRPr="006B18A3">
        <w:rPr>
          <w:vertAlign w:val="subscript"/>
        </w:rPr>
        <w:t>s</w:t>
      </w:r>
      <w:r w:rsidRPr="006B18A3">
        <w:t>, PM, OGC, CO and NO</w:t>
      </w:r>
      <w:r w:rsidRPr="006B18A3">
        <w:rPr>
          <w:vertAlign w:val="subscript"/>
        </w:rPr>
        <w:t>x</w:t>
      </w:r>
      <w:r w:rsidRPr="006B18A3">
        <w:t xml:space="preserve"> need to be given for all fuels the unit is marketed to be operated with; the parameters for the heat output, useful efficiency, auxiliary electricity consumption, permanent pilot flame power requirement need to be given for the preferred fuel only. </w:t>
      </w:r>
    </w:p>
    <w:p w:rsidR="00827050" w:rsidRPr="006B18A3" w:rsidRDefault="006B0FA0" w:rsidP="006B0FA0">
      <w:pPr>
        <w:pStyle w:val="Liststycke"/>
        <w:ind w:left="360"/>
        <w:contextualSpacing w:val="0"/>
      </w:pPr>
      <w:r w:rsidRPr="006B18A3">
        <w:t xml:space="preserve">Ecodesign requirements need to be fulfilled with all fuels the unit is marketed to be operated with. </w:t>
      </w:r>
      <w:r w:rsidR="00827050" w:rsidRPr="006B18A3">
        <w:t xml:space="preserve"> </w:t>
      </w:r>
    </w:p>
    <w:p w:rsidR="0049135D" w:rsidRPr="006B18A3" w:rsidRDefault="002A49F0" w:rsidP="0049135D">
      <w:pPr>
        <w:pStyle w:val="Liststycke"/>
        <w:numPr>
          <w:ilvl w:val="0"/>
          <w:numId w:val="22"/>
        </w:numPr>
        <w:contextualSpacing w:val="0"/>
        <w:rPr>
          <w:b/>
          <w:i/>
        </w:rPr>
      </w:pPr>
      <w:r w:rsidRPr="006B18A3">
        <w:rPr>
          <w:b/>
          <w:i/>
        </w:rPr>
        <w:t>Which heat output is to be indicated on the label</w:t>
      </w:r>
      <w:r w:rsidR="0049135D" w:rsidRPr="006B18A3">
        <w:rPr>
          <w:b/>
          <w:i/>
        </w:rPr>
        <w:t>, nominal, minimum or maximum heat output?</w:t>
      </w:r>
    </w:p>
    <w:p w:rsidR="00830EC0" w:rsidRPr="006B18A3" w:rsidRDefault="0049135D" w:rsidP="00830EC0">
      <w:pPr>
        <w:pStyle w:val="Liststycke"/>
        <w:ind w:left="360"/>
        <w:contextualSpacing w:val="0"/>
      </w:pPr>
      <w:r w:rsidRPr="006B18A3">
        <w:lastRenderedPageBreak/>
        <w:t>The n</w:t>
      </w:r>
      <w:r w:rsidR="00830EC0" w:rsidRPr="006B18A3">
        <w:t>omi</w:t>
      </w:r>
      <w:r w:rsidRPr="006B18A3">
        <w:t>nal heat output.</w:t>
      </w:r>
    </w:p>
    <w:p w:rsidR="002A49F0" w:rsidRPr="006B18A3" w:rsidRDefault="002A49F0" w:rsidP="00130562">
      <w:pPr>
        <w:pStyle w:val="Liststycke"/>
        <w:ind w:left="360"/>
        <w:contextualSpacing w:val="0"/>
      </w:pPr>
      <w:r w:rsidRPr="006B18A3">
        <w:t> </w:t>
      </w:r>
      <w:r w:rsidRPr="006B18A3">
        <w:br/>
      </w:r>
    </w:p>
    <w:p w:rsidR="002A49F0" w:rsidRPr="006B18A3" w:rsidRDefault="002A49F0" w:rsidP="002A49F0"/>
    <w:p w:rsidR="00AD565C" w:rsidRPr="006B18A3" w:rsidRDefault="00AD565C" w:rsidP="00AD565C"/>
    <w:p w:rsidR="00705461" w:rsidRPr="006B18A3" w:rsidRDefault="00705461" w:rsidP="00BB4209"/>
    <w:p w:rsidR="00A46A41" w:rsidRPr="006B18A3" w:rsidRDefault="00A46A41" w:rsidP="00BB4209"/>
    <w:p w:rsidR="00705461" w:rsidRPr="006B18A3" w:rsidRDefault="00705461" w:rsidP="00BB4209"/>
    <w:p w:rsidR="00213ED5" w:rsidRPr="006B18A3" w:rsidRDefault="00213ED5" w:rsidP="00213ED5"/>
    <w:sectPr w:rsidR="00213ED5" w:rsidRPr="006B18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B6" w:rsidRDefault="004D3DB6" w:rsidP="00A4592C">
      <w:pPr>
        <w:spacing w:after="0"/>
      </w:pPr>
      <w:r>
        <w:separator/>
      </w:r>
    </w:p>
  </w:endnote>
  <w:endnote w:type="continuationSeparator" w:id="0">
    <w:p w:rsidR="004D3DB6" w:rsidRDefault="004D3DB6" w:rsidP="00A45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B6" w:rsidRDefault="004D3DB6" w:rsidP="00A4592C">
      <w:pPr>
        <w:spacing w:after="0"/>
      </w:pPr>
      <w:r>
        <w:separator/>
      </w:r>
    </w:p>
  </w:footnote>
  <w:footnote w:type="continuationSeparator" w:id="0">
    <w:p w:rsidR="004D3DB6" w:rsidRDefault="004D3DB6" w:rsidP="00A4592C">
      <w:pPr>
        <w:spacing w:after="0"/>
      </w:pPr>
      <w:r>
        <w:continuationSeparator/>
      </w:r>
    </w:p>
  </w:footnote>
  <w:footnote w:id="1">
    <w:p w:rsidR="00A97460" w:rsidRPr="00ED665F" w:rsidRDefault="00A97460">
      <w:pPr>
        <w:pStyle w:val="Fotnotstext"/>
        <w:rPr>
          <w:lang w:val="pl-PL"/>
        </w:rPr>
      </w:pPr>
      <w:r>
        <w:rPr>
          <w:rStyle w:val="Fotnotsreferens"/>
        </w:rPr>
        <w:footnoteRef/>
      </w:r>
      <w:r w:rsidRPr="00ED665F">
        <w:rPr>
          <w:lang w:val="pl-PL"/>
        </w:rPr>
        <w:t xml:space="preserve"> OJ L 193, 21.7.2015, p. 20.</w:t>
      </w:r>
    </w:p>
  </w:footnote>
  <w:footnote w:id="2">
    <w:p w:rsidR="00A97460" w:rsidRPr="00ED665F" w:rsidRDefault="00A97460">
      <w:pPr>
        <w:pStyle w:val="Fotnotstext"/>
        <w:rPr>
          <w:lang w:val="pl-PL"/>
        </w:rPr>
      </w:pPr>
      <w:r>
        <w:rPr>
          <w:rStyle w:val="Fotnotsreferens"/>
        </w:rPr>
        <w:footnoteRef/>
      </w:r>
      <w:r w:rsidRPr="00ED665F">
        <w:rPr>
          <w:lang w:val="pl-PL"/>
        </w:rPr>
        <w:t xml:space="preserve"> OJ L 193, 21.7.2015, p. 76.</w:t>
      </w:r>
    </w:p>
  </w:footnote>
  <w:footnote w:id="3">
    <w:p w:rsidR="00A97460" w:rsidRPr="00ED665F" w:rsidRDefault="00A97460">
      <w:pPr>
        <w:pStyle w:val="Fotnotstext"/>
        <w:rPr>
          <w:lang w:val="pl-PL"/>
        </w:rPr>
      </w:pPr>
      <w:r>
        <w:rPr>
          <w:rStyle w:val="Fotnotsreferens"/>
        </w:rPr>
        <w:footnoteRef/>
      </w:r>
      <w:r w:rsidRPr="00ED665F">
        <w:rPr>
          <w:lang w:val="pl-PL"/>
        </w:rPr>
        <w:t xml:space="preserve"> OJ L 193, 21.7.2015, p. 1.</w:t>
      </w:r>
    </w:p>
  </w:footnote>
  <w:footnote w:id="4">
    <w:p w:rsidR="00D05EC4" w:rsidRPr="00ED665F" w:rsidRDefault="00D05EC4" w:rsidP="00D05EC4">
      <w:pPr>
        <w:pStyle w:val="Fotnotstext"/>
        <w:rPr>
          <w:lang w:val="pl-PL"/>
        </w:rPr>
      </w:pPr>
      <w:r>
        <w:rPr>
          <w:rStyle w:val="Fotnotsreferens"/>
        </w:rPr>
        <w:footnoteRef/>
      </w:r>
      <w:r w:rsidR="009A732D" w:rsidRPr="009A732D">
        <w:rPr>
          <w:lang w:val="pl-PL"/>
        </w:rPr>
        <w:t>https://circabc.europa.eu/faces/jsp/extension/wai/navigation/container.jsp?FormPrincipal:_idcl=FormPrincipal:_id1&amp;FormPrincipal_SUBMIT=1&amp;id=6749efaf-92c2-491e-a503-d860573ddb1e&amp;javax.faces.ViewState=QAs1ev8cUW9UIn95lGP70uVsJTJd25D0i%2Fra1Jy98kO7fZ%2Ft13Qk6zcGv68T1NBI0g8MiVSEmtcU9Sme%2Bn%2BfzylYlhSL2TSB2D%2Fq8MycwfefU%2FMjdmJ%2FyRB8rWMuACeHFp6Sw7%2BsiD4GDow2KYecBMNytcw%3D</w:t>
      </w:r>
      <w:r w:rsidRPr="00ED665F">
        <w:rPr>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D89"/>
    <w:multiLevelType w:val="hybridMultilevel"/>
    <w:tmpl w:val="9044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E86"/>
    <w:multiLevelType w:val="hybridMultilevel"/>
    <w:tmpl w:val="22A22A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9776F5"/>
    <w:multiLevelType w:val="hybridMultilevel"/>
    <w:tmpl w:val="F1421E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A893130"/>
    <w:multiLevelType w:val="hybridMultilevel"/>
    <w:tmpl w:val="78B8ACF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4" w15:restartNumberingAfterBreak="0">
    <w:nsid w:val="1BB077A3"/>
    <w:multiLevelType w:val="hybridMultilevel"/>
    <w:tmpl w:val="FDCACD74"/>
    <w:lvl w:ilvl="0" w:tplc="92D43C8A">
      <w:start w:val="1"/>
      <w:numFmt w:val="decimal"/>
      <w:lvlText w:val="%1."/>
      <w:lvlJc w:val="left"/>
      <w:pPr>
        <w:ind w:left="360" w:hanging="360"/>
      </w:pPr>
      <w:rPr>
        <w:b/>
        <w:i/>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D12AC0"/>
    <w:multiLevelType w:val="hybridMultilevel"/>
    <w:tmpl w:val="3440D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177A"/>
    <w:multiLevelType w:val="hybridMultilevel"/>
    <w:tmpl w:val="16FC480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253F28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DD78BE"/>
    <w:multiLevelType w:val="hybridMultilevel"/>
    <w:tmpl w:val="E4E60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14838"/>
    <w:multiLevelType w:val="hybridMultilevel"/>
    <w:tmpl w:val="B0C6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F0E93"/>
    <w:multiLevelType w:val="hybridMultilevel"/>
    <w:tmpl w:val="339433DC"/>
    <w:lvl w:ilvl="0" w:tplc="6AE2FA90">
      <w:start w:val="1"/>
      <w:numFmt w:val="decimal"/>
      <w:pStyle w:val="QA"/>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A675BA"/>
    <w:multiLevelType w:val="multilevel"/>
    <w:tmpl w:val="AF8C256A"/>
    <w:lvl w:ilvl="0">
      <w:start w:val="1"/>
      <w:numFmt w:val="decimal"/>
      <w:pStyle w:val="Rubri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7215C5"/>
    <w:multiLevelType w:val="hybridMultilevel"/>
    <w:tmpl w:val="B222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12D3A"/>
    <w:multiLevelType w:val="hybridMultilevel"/>
    <w:tmpl w:val="B43CE6DA"/>
    <w:lvl w:ilvl="0" w:tplc="22A6BFFC">
      <w:start w:val="2"/>
      <w:numFmt w:val="bullet"/>
      <w:lvlText w:val=""/>
      <w:lvlJc w:val="left"/>
      <w:pPr>
        <w:ind w:left="2160" w:hanging="360"/>
      </w:pPr>
      <w:rPr>
        <w:rFonts w:ascii="Symbol" w:eastAsia="Calibri" w:hAnsi="Symbol" w:cs="Courier New" w:hint="default"/>
        <w:color w:val="1F497D"/>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4AD91F35"/>
    <w:multiLevelType w:val="multilevel"/>
    <w:tmpl w:val="DF38F432"/>
    <w:lvl w:ilvl="0">
      <w:start w:val="1"/>
      <w:numFmt w:val="decimal"/>
      <w:lvlText w:val="%1."/>
      <w:lvlJc w:val="left"/>
      <w:pPr>
        <w:ind w:left="360" w:hanging="360"/>
      </w:pPr>
    </w:lvl>
    <w:lvl w:ilvl="1">
      <w:start w:val="1"/>
      <w:numFmt w:val="decimal"/>
      <w:pStyle w:val="Rubrik2"/>
      <w:lvlText w:val="%1.%2."/>
      <w:lvlJc w:val="left"/>
      <w:pPr>
        <w:ind w:left="432"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C62ECD"/>
    <w:multiLevelType w:val="hybridMultilevel"/>
    <w:tmpl w:val="FBF6B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801C90"/>
    <w:multiLevelType w:val="hybridMultilevel"/>
    <w:tmpl w:val="F264B1A8"/>
    <w:lvl w:ilvl="0" w:tplc="CFDA5818">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5E7D397B"/>
    <w:multiLevelType w:val="hybridMultilevel"/>
    <w:tmpl w:val="197A9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635B6FC3"/>
    <w:multiLevelType w:val="hybridMultilevel"/>
    <w:tmpl w:val="B64C1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E77901"/>
    <w:multiLevelType w:val="hybridMultilevel"/>
    <w:tmpl w:val="559CB11E"/>
    <w:lvl w:ilvl="0" w:tplc="5DD8A99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1409E6"/>
    <w:multiLevelType w:val="hybridMultilevel"/>
    <w:tmpl w:val="E37A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F0A21"/>
    <w:multiLevelType w:val="hybridMultilevel"/>
    <w:tmpl w:val="AC5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C3475"/>
    <w:multiLevelType w:val="hybridMultilevel"/>
    <w:tmpl w:val="3C7E0058"/>
    <w:lvl w:ilvl="0" w:tplc="6D6C3F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3070E"/>
    <w:multiLevelType w:val="hybridMultilevel"/>
    <w:tmpl w:val="82CA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D0291"/>
    <w:multiLevelType w:val="hybridMultilevel"/>
    <w:tmpl w:val="46EC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55BB6"/>
    <w:multiLevelType w:val="hybridMultilevel"/>
    <w:tmpl w:val="483CB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B35A38"/>
    <w:multiLevelType w:val="multilevel"/>
    <w:tmpl w:val="49E8A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7"/>
  </w:num>
  <w:num w:numId="3">
    <w:abstractNumId w:val="27"/>
  </w:num>
  <w:num w:numId="4">
    <w:abstractNumId w:val="11"/>
  </w:num>
  <w:num w:numId="5">
    <w:abstractNumId w:val="23"/>
  </w:num>
  <w:num w:numId="6">
    <w:abstractNumId w:val="14"/>
  </w:num>
  <w:num w:numId="7">
    <w:abstractNumId w:val="8"/>
  </w:num>
  <w:num w:numId="8">
    <w:abstractNumId w:val="0"/>
  </w:num>
  <w:num w:numId="9">
    <w:abstractNumId w:val="21"/>
  </w:num>
  <w:num w:numId="10">
    <w:abstractNumId w:val="5"/>
  </w:num>
  <w:num w:numId="11">
    <w:abstractNumId w:val="12"/>
  </w:num>
  <w:num w:numId="12">
    <w:abstractNumId w:val="25"/>
  </w:num>
  <w:num w:numId="13">
    <w:abstractNumId w:val="3"/>
  </w:num>
  <w:num w:numId="14">
    <w:abstractNumId w:val="9"/>
  </w:num>
  <w:num w:numId="15">
    <w:abstractNumId w:val="22"/>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10"/>
  </w:num>
  <w:num w:numId="24">
    <w:abstractNumId w:val="1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24"/>
  </w:num>
  <w:num w:numId="29">
    <w:abstractNumId w:val="11"/>
  </w:num>
  <w:num w:numId="30">
    <w:abstractNumId w:val="11"/>
  </w:num>
  <w:num w:numId="31">
    <w:abstractNumId w:val="26"/>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67F91"/>
    <w:rsid w:val="00017B62"/>
    <w:rsid w:val="00023E9A"/>
    <w:rsid w:val="00064B96"/>
    <w:rsid w:val="00070F3F"/>
    <w:rsid w:val="00074EB1"/>
    <w:rsid w:val="000C7ED1"/>
    <w:rsid w:val="0011711F"/>
    <w:rsid w:val="00125B73"/>
    <w:rsid w:val="00130562"/>
    <w:rsid w:val="00130FD2"/>
    <w:rsid w:val="001820C1"/>
    <w:rsid w:val="001C273E"/>
    <w:rsid w:val="001D5AD4"/>
    <w:rsid w:val="00213ED5"/>
    <w:rsid w:val="0023238A"/>
    <w:rsid w:val="00241843"/>
    <w:rsid w:val="002461A6"/>
    <w:rsid w:val="00247E3A"/>
    <w:rsid w:val="00265DC3"/>
    <w:rsid w:val="00287913"/>
    <w:rsid w:val="002A49F0"/>
    <w:rsid w:val="002C58D5"/>
    <w:rsid w:val="002D2EA4"/>
    <w:rsid w:val="003405C6"/>
    <w:rsid w:val="00346315"/>
    <w:rsid w:val="00367F91"/>
    <w:rsid w:val="003F1346"/>
    <w:rsid w:val="003F1CC5"/>
    <w:rsid w:val="003F72EC"/>
    <w:rsid w:val="004314A9"/>
    <w:rsid w:val="00447CD2"/>
    <w:rsid w:val="00467977"/>
    <w:rsid w:val="004702E2"/>
    <w:rsid w:val="0047284A"/>
    <w:rsid w:val="0047458F"/>
    <w:rsid w:val="00483F52"/>
    <w:rsid w:val="00490D62"/>
    <w:rsid w:val="0049135D"/>
    <w:rsid w:val="00495242"/>
    <w:rsid w:val="004C2914"/>
    <w:rsid w:val="004D3DB6"/>
    <w:rsid w:val="004F7D93"/>
    <w:rsid w:val="00530F9B"/>
    <w:rsid w:val="00557934"/>
    <w:rsid w:val="00567FFD"/>
    <w:rsid w:val="00575696"/>
    <w:rsid w:val="00587893"/>
    <w:rsid w:val="00594667"/>
    <w:rsid w:val="005A4F99"/>
    <w:rsid w:val="005B641A"/>
    <w:rsid w:val="005F6536"/>
    <w:rsid w:val="00620766"/>
    <w:rsid w:val="00652B98"/>
    <w:rsid w:val="00694FB8"/>
    <w:rsid w:val="0069539B"/>
    <w:rsid w:val="006B0FA0"/>
    <w:rsid w:val="006B18A3"/>
    <w:rsid w:val="006D0A1A"/>
    <w:rsid w:val="00705461"/>
    <w:rsid w:val="007772A9"/>
    <w:rsid w:val="007B232C"/>
    <w:rsid w:val="007C597B"/>
    <w:rsid w:val="00827050"/>
    <w:rsid w:val="00830EC0"/>
    <w:rsid w:val="008424A8"/>
    <w:rsid w:val="00843329"/>
    <w:rsid w:val="00843FF7"/>
    <w:rsid w:val="00851954"/>
    <w:rsid w:val="00860A57"/>
    <w:rsid w:val="008A0C3A"/>
    <w:rsid w:val="008A16BD"/>
    <w:rsid w:val="008A30DA"/>
    <w:rsid w:val="008A3FDB"/>
    <w:rsid w:val="008E0764"/>
    <w:rsid w:val="008E55AC"/>
    <w:rsid w:val="00904315"/>
    <w:rsid w:val="0092453C"/>
    <w:rsid w:val="0092599C"/>
    <w:rsid w:val="00952C62"/>
    <w:rsid w:val="009A642A"/>
    <w:rsid w:val="009A732D"/>
    <w:rsid w:val="009E1928"/>
    <w:rsid w:val="00A078E8"/>
    <w:rsid w:val="00A4592C"/>
    <w:rsid w:val="00A46A41"/>
    <w:rsid w:val="00A97460"/>
    <w:rsid w:val="00AD3455"/>
    <w:rsid w:val="00AD565C"/>
    <w:rsid w:val="00B01C2B"/>
    <w:rsid w:val="00B669D2"/>
    <w:rsid w:val="00BB4209"/>
    <w:rsid w:val="00BE7492"/>
    <w:rsid w:val="00C00FEA"/>
    <w:rsid w:val="00C021C2"/>
    <w:rsid w:val="00C04A7B"/>
    <w:rsid w:val="00C10666"/>
    <w:rsid w:val="00C873ED"/>
    <w:rsid w:val="00CA5F96"/>
    <w:rsid w:val="00D0208B"/>
    <w:rsid w:val="00D05EC4"/>
    <w:rsid w:val="00D42E08"/>
    <w:rsid w:val="00D470B8"/>
    <w:rsid w:val="00D53DFC"/>
    <w:rsid w:val="00D73FB8"/>
    <w:rsid w:val="00D7798A"/>
    <w:rsid w:val="00DA73EE"/>
    <w:rsid w:val="00DC3260"/>
    <w:rsid w:val="00DD08B8"/>
    <w:rsid w:val="00DD33E6"/>
    <w:rsid w:val="00DD6FB7"/>
    <w:rsid w:val="00DF3260"/>
    <w:rsid w:val="00E40D3A"/>
    <w:rsid w:val="00E44625"/>
    <w:rsid w:val="00E52F1A"/>
    <w:rsid w:val="00E75A8A"/>
    <w:rsid w:val="00EA5634"/>
    <w:rsid w:val="00ED665F"/>
    <w:rsid w:val="00F02AE4"/>
    <w:rsid w:val="00F423FD"/>
    <w:rsid w:val="00F73E81"/>
    <w:rsid w:val="00FC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74C73-073E-4D1B-92CB-94A600EF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232C"/>
    <w:pPr>
      <w:spacing w:after="240"/>
      <w:jc w:val="both"/>
    </w:pPr>
    <w:rPr>
      <w:sz w:val="24"/>
      <w:szCs w:val="24"/>
    </w:rPr>
  </w:style>
  <w:style w:type="paragraph" w:styleId="Rubrik1">
    <w:name w:val="heading 1"/>
    <w:basedOn w:val="Normal"/>
    <w:next w:val="Normal"/>
    <w:link w:val="Rubrik1Char"/>
    <w:uiPriority w:val="9"/>
    <w:qFormat/>
    <w:rsid w:val="007B232C"/>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7B232C"/>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DF326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semiHidden/>
    <w:unhideWhenUsed/>
    <w:qFormat/>
    <w:rsid w:val="00367F91"/>
    <w:pPr>
      <w:keepNext/>
      <w:spacing w:before="240" w:after="60"/>
      <w:outlineLvl w:val="3"/>
    </w:pPr>
    <w:rPr>
      <w:rFonts w:cstheme="majorBidi"/>
      <w:b/>
      <w:bCs/>
      <w:sz w:val="28"/>
      <w:szCs w:val="28"/>
    </w:rPr>
  </w:style>
  <w:style w:type="paragraph" w:styleId="Rubrik5">
    <w:name w:val="heading 5"/>
    <w:basedOn w:val="Normal"/>
    <w:next w:val="Normal"/>
    <w:link w:val="Rubrik5Char"/>
    <w:uiPriority w:val="9"/>
    <w:semiHidden/>
    <w:unhideWhenUsed/>
    <w:qFormat/>
    <w:rsid w:val="00367F91"/>
    <w:pPr>
      <w:spacing w:before="240" w:after="60"/>
      <w:outlineLvl w:val="4"/>
    </w:pPr>
    <w:rPr>
      <w:rFonts w:cstheme="majorBidi"/>
      <w:b/>
      <w:bCs/>
      <w:i/>
      <w:iCs/>
      <w:sz w:val="26"/>
      <w:szCs w:val="26"/>
    </w:rPr>
  </w:style>
  <w:style w:type="paragraph" w:styleId="Rubrik6">
    <w:name w:val="heading 6"/>
    <w:basedOn w:val="Normal"/>
    <w:next w:val="Normal"/>
    <w:link w:val="Rubrik6Char"/>
    <w:uiPriority w:val="9"/>
    <w:semiHidden/>
    <w:unhideWhenUsed/>
    <w:qFormat/>
    <w:rsid w:val="00367F91"/>
    <w:pPr>
      <w:spacing w:before="240" w:after="60"/>
      <w:outlineLvl w:val="5"/>
    </w:pPr>
    <w:rPr>
      <w:rFonts w:cstheme="majorBidi"/>
      <w:b/>
      <w:bCs/>
      <w:sz w:val="22"/>
      <w:szCs w:val="22"/>
    </w:rPr>
  </w:style>
  <w:style w:type="paragraph" w:styleId="Rubrik7">
    <w:name w:val="heading 7"/>
    <w:basedOn w:val="Normal"/>
    <w:next w:val="Normal"/>
    <w:link w:val="Rubrik7Char"/>
    <w:uiPriority w:val="9"/>
    <w:semiHidden/>
    <w:unhideWhenUsed/>
    <w:qFormat/>
    <w:rsid w:val="00367F91"/>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367F91"/>
    <w:pPr>
      <w:spacing w:before="240" w:after="60"/>
      <w:outlineLvl w:val="7"/>
    </w:pPr>
    <w:rPr>
      <w:rFonts w:cstheme="majorBidi"/>
      <w:i/>
      <w:iCs/>
    </w:rPr>
  </w:style>
  <w:style w:type="paragraph" w:styleId="Rubrik9">
    <w:name w:val="heading 9"/>
    <w:basedOn w:val="Normal"/>
    <w:next w:val="Normal"/>
    <w:link w:val="Rubrik9Char"/>
    <w:uiPriority w:val="9"/>
    <w:semiHidden/>
    <w:unhideWhenUsed/>
    <w:qFormat/>
    <w:rsid w:val="00367F91"/>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232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rsid w:val="007B232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rsid w:val="00DF3260"/>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367F91"/>
    <w:rPr>
      <w:rFonts w:cstheme="majorBidi"/>
      <w:b/>
      <w:bCs/>
      <w:sz w:val="28"/>
      <w:szCs w:val="28"/>
    </w:rPr>
  </w:style>
  <w:style w:type="character" w:customStyle="1" w:styleId="Rubrik5Char">
    <w:name w:val="Rubrik 5 Char"/>
    <w:basedOn w:val="Standardstycketeckensnitt"/>
    <w:link w:val="Rubrik5"/>
    <w:uiPriority w:val="9"/>
    <w:semiHidden/>
    <w:rsid w:val="00367F91"/>
    <w:rPr>
      <w:rFonts w:cstheme="majorBidi"/>
      <w:b/>
      <w:bCs/>
      <w:i/>
      <w:iCs/>
      <w:sz w:val="26"/>
      <w:szCs w:val="26"/>
    </w:rPr>
  </w:style>
  <w:style w:type="character" w:customStyle="1" w:styleId="Rubrik6Char">
    <w:name w:val="Rubrik 6 Char"/>
    <w:basedOn w:val="Standardstycketeckensnitt"/>
    <w:link w:val="Rubrik6"/>
    <w:uiPriority w:val="9"/>
    <w:semiHidden/>
    <w:rsid w:val="00367F91"/>
    <w:rPr>
      <w:rFonts w:cstheme="majorBidi"/>
      <w:b/>
      <w:bCs/>
    </w:rPr>
  </w:style>
  <w:style w:type="character" w:customStyle="1" w:styleId="Rubrik7Char">
    <w:name w:val="Rubrik 7 Char"/>
    <w:basedOn w:val="Standardstycketeckensnitt"/>
    <w:link w:val="Rubrik7"/>
    <w:uiPriority w:val="9"/>
    <w:semiHidden/>
    <w:rsid w:val="00367F91"/>
    <w:rPr>
      <w:rFonts w:cstheme="majorBidi"/>
      <w:sz w:val="24"/>
      <w:szCs w:val="24"/>
    </w:rPr>
  </w:style>
  <w:style w:type="character" w:customStyle="1" w:styleId="Rubrik8Char">
    <w:name w:val="Rubrik 8 Char"/>
    <w:basedOn w:val="Standardstycketeckensnitt"/>
    <w:link w:val="Rubrik8"/>
    <w:uiPriority w:val="9"/>
    <w:semiHidden/>
    <w:rsid w:val="00367F91"/>
    <w:rPr>
      <w:rFonts w:cstheme="majorBidi"/>
      <w:i/>
      <w:iCs/>
      <w:sz w:val="24"/>
      <w:szCs w:val="24"/>
    </w:rPr>
  </w:style>
  <w:style w:type="character" w:customStyle="1" w:styleId="Rubrik9Char">
    <w:name w:val="Rubrik 9 Char"/>
    <w:basedOn w:val="Standardstycketeckensnitt"/>
    <w:link w:val="Rubrik9"/>
    <w:uiPriority w:val="9"/>
    <w:semiHidden/>
    <w:rsid w:val="00367F91"/>
    <w:rPr>
      <w:rFonts w:asciiTheme="majorHAnsi" w:eastAsiaTheme="majorEastAsia" w:hAnsiTheme="majorHAnsi" w:cstheme="majorBidi"/>
    </w:rPr>
  </w:style>
  <w:style w:type="paragraph" w:styleId="Rubrik">
    <w:name w:val="Title"/>
    <w:basedOn w:val="Normal"/>
    <w:next w:val="Normal"/>
    <w:link w:val="RubrikChar"/>
    <w:uiPriority w:val="10"/>
    <w:qFormat/>
    <w:rsid w:val="00367F91"/>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367F91"/>
    <w:rPr>
      <w:rFonts w:asciiTheme="majorHAnsi" w:eastAsiaTheme="majorEastAsia" w:hAnsiTheme="majorHAnsi" w:cstheme="majorBidi"/>
      <w:b/>
      <w:bCs/>
      <w:kern w:val="28"/>
      <w:sz w:val="32"/>
      <w:szCs w:val="32"/>
    </w:rPr>
  </w:style>
  <w:style w:type="paragraph" w:styleId="Underrubrik">
    <w:name w:val="Subtitle"/>
    <w:basedOn w:val="Normal"/>
    <w:next w:val="Normal"/>
    <w:link w:val="UnderrubrikChar"/>
    <w:uiPriority w:val="11"/>
    <w:qFormat/>
    <w:rsid w:val="00367F91"/>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367F91"/>
    <w:rPr>
      <w:rFonts w:asciiTheme="majorHAnsi" w:eastAsiaTheme="majorEastAsia" w:hAnsiTheme="majorHAnsi" w:cstheme="majorBidi"/>
      <w:sz w:val="24"/>
      <w:szCs w:val="24"/>
    </w:rPr>
  </w:style>
  <w:style w:type="character" w:styleId="Stark">
    <w:name w:val="Strong"/>
    <w:basedOn w:val="Standardstycketeckensnitt"/>
    <w:uiPriority w:val="22"/>
    <w:qFormat/>
    <w:rsid w:val="00367F91"/>
    <w:rPr>
      <w:b/>
      <w:bCs/>
    </w:rPr>
  </w:style>
  <w:style w:type="character" w:styleId="Betoning">
    <w:name w:val="Emphasis"/>
    <w:basedOn w:val="Standardstycketeckensnitt"/>
    <w:uiPriority w:val="20"/>
    <w:qFormat/>
    <w:rsid w:val="00367F91"/>
    <w:rPr>
      <w:rFonts w:asciiTheme="minorHAnsi" w:hAnsiTheme="minorHAnsi"/>
      <w:b/>
      <w:i/>
      <w:iCs/>
    </w:rPr>
  </w:style>
  <w:style w:type="paragraph" w:styleId="Ingetavstnd">
    <w:name w:val="No Spacing"/>
    <w:basedOn w:val="Normal"/>
    <w:link w:val="IngetavstndChar"/>
    <w:uiPriority w:val="1"/>
    <w:qFormat/>
    <w:rsid w:val="00367F91"/>
    <w:rPr>
      <w:szCs w:val="32"/>
    </w:rPr>
  </w:style>
  <w:style w:type="paragraph" w:styleId="Liststycke">
    <w:name w:val="List Paragraph"/>
    <w:aliases w:val="FooterText,Paragraphe de liste1,1st level - Bullet List Paragraph,Lettre d'introduction,Paragrafo elenco,List Paragraph1,Medium Grid 1 - Accent 21,Heading 2_sj,Numbered Para 1,Dot pt,No Spacing1,List Paragraph Char Char Char"/>
    <w:basedOn w:val="Normal"/>
    <w:link w:val="ListstyckeChar"/>
    <w:uiPriority w:val="34"/>
    <w:qFormat/>
    <w:rsid w:val="00367F91"/>
    <w:pPr>
      <w:ind w:left="720"/>
      <w:contextualSpacing/>
    </w:pPr>
  </w:style>
  <w:style w:type="paragraph" w:styleId="Citat">
    <w:name w:val="Quote"/>
    <w:basedOn w:val="Normal"/>
    <w:next w:val="Normal"/>
    <w:link w:val="CitatChar"/>
    <w:uiPriority w:val="29"/>
    <w:qFormat/>
    <w:rsid w:val="00367F91"/>
    <w:rPr>
      <w:i/>
    </w:rPr>
  </w:style>
  <w:style w:type="character" w:customStyle="1" w:styleId="CitatChar">
    <w:name w:val="Citat Char"/>
    <w:basedOn w:val="Standardstycketeckensnitt"/>
    <w:link w:val="Citat"/>
    <w:uiPriority w:val="29"/>
    <w:rsid w:val="00367F91"/>
    <w:rPr>
      <w:i/>
      <w:sz w:val="24"/>
      <w:szCs w:val="24"/>
    </w:rPr>
  </w:style>
  <w:style w:type="paragraph" w:styleId="Starktcitat">
    <w:name w:val="Intense Quote"/>
    <w:basedOn w:val="Normal"/>
    <w:next w:val="Normal"/>
    <w:link w:val="StarktcitatChar"/>
    <w:uiPriority w:val="30"/>
    <w:qFormat/>
    <w:rsid w:val="00367F91"/>
    <w:pPr>
      <w:ind w:left="720" w:right="720"/>
    </w:pPr>
    <w:rPr>
      <w:b/>
      <w:i/>
      <w:szCs w:val="22"/>
    </w:rPr>
  </w:style>
  <w:style w:type="character" w:customStyle="1" w:styleId="StarktcitatChar">
    <w:name w:val="Starkt citat Char"/>
    <w:basedOn w:val="Standardstycketeckensnitt"/>
    <w:link w:val="Starktcitat"/>
    <w:uiPriority w:val="30"/>
    <w:rsid w:val="00367F91"/>
    <w:rPr>
      <w:b/>
      <w:i/>
      <w:sz w:val="24"/>
    </w:rPr>
  </w:style>
  <w:style w:type="character" w:styleId="Diskretbetoning">
    <w:name w:val="Subtle Emphasis"/>
    <w:uiPriority w:val="19"/>
    <w:qFormat/>
    <w:rsid w:val="00367F91"/>
    <w:rPr>
      <w:i/>
      <w:color w:val="5A5A5A" w:themeColor="text1" w:themeTint="A5"/>
    </w:rPr>
  </w:style>
  <w:style w:type="character" w:styleId="Starkbetoning">
    <w:name w:val="Intense Emphasis"/>
    <w:basedOn w:val="Standardstycketeckensnitt"/>
    <w:uiPriority w:val="21"/>
    <w:qFormat/>
    <w:rsid w:val="00367F91"/>
    <w:rPr>
      <w:b/>
      <w:i/>
      <w:sz w:val="24"/>
      <w:szCs w:val="24"/>
      <w:u w:val="single"/>
    </w:rPr>
  </w:style>
  <w:style w:type="character" w:styleId="Diskretreferens">
    <w:name w:val="Subtle Reference"/>
    <w:basedOn w:val="Standardstycketeckensnitt"/>
    <w:uiPriority w:val="31"/>
    <w:qFormat/>
    <w:rsid w:val="00367F91"/>
    <w:rPr>
      <w:sz w:val="24"/>
      <w:szCs w:val="24"/>
      <w:u w:val="single"/>
    </w:rPr>
  </w:style>
  <w:style w:type="character" w:styleId="Starkreferens">
    <w:name w:val="Intense Reference"/>
    <w:basedOn w:val="Standardstycketeckensnitt"/>
    <w:uiPriority w:val="32"/>
    <w:qFormat/>
    <w:rsid w:val="00367F91"/>
    <w:rPr>
      <w:b/>
      <w:sz w:val="24"/>
      <w:u w:val="single"/>
    </w:rPr>
  </w:style>
  <w:style w:type="character" w:styleId="Bokenstitel">
    <w:name w:val="Book Title"/>
    <w:basedOn w:val="Standardstycketeckensnitt"/>
    <w:uiPriority w:val="33"/>
    <w:qFormat/>
    <w:rsid w:val="00367F91"/>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367F91"/>
    <w:pPr>
      <w:outlineLvl w:val="9"/>
    </w:pPr>
  </w:style>
  <w:style w:type="paragraph" w:styleId="Beskrivning">
    <w:name w:val="caption"/>
    <w:basedOn w:val="Normal"/>
    <w:next w:val="Normal"/>
    <w:uiPriority w:val="35"/>
    <w:semiHidden/>
    <w:unhideWhenUsed/>
    <w:rsid w:val="00367F91"/>
    <w:rPr>
      <w:b/>
      <w:bCs/>
      <w:color w:val="4F81BD" w:themeColor="accent1"/>
      <w:sz w:val="18"/>
      <w:szCs w:val="18"/>
    </w:rPr>
  </w:style>
  <w:style w:type="character" w:customStyle="1" w:styleId="IngetavstndChar">
    <w:name w:val="Inget avstånd Char"/>
    <w:basedOn w:val="Standardstycketeckensnitt"/>
    <w:link w:val="Ingetavstnd"/>
    <w:uiPriority w:val="1"/>
    <w:rsid w:val="00367F91"/>
    <w:rPr>
      <w:sz w:val="24"/>
      <w:szCs w:val="32"/>
    </w:rPr>
  </w:style>
  <w:style w:type="paragraph" w:styleId="Innehll1">
    <w:name w:val="toc 1"/>
    <w:basedOn w:val="Normal"/>
    <w:next w:val="Normal"/>
    <w:autoRedefine/>
    <w:uiPriority w:val="39"/>
    <w:unhideWhenUsed/>
    <w:rsid w:val="007B232C"/>
    <w:pPr>
      <w:spacing w:after="100"/>
    </w:pPr>
  </w:style>
  <w:style w:type="paragraph" w:styleId="Innehll2">
    <w:name w:val="toc 2"/>
    <w:basedOn w:val="Normal"/>
    <w:next w:val="Normal"/>
    <w:autoRedefine/>
    <w:uiPriority w:val="39"/>
    <w:unhideWhenUsed/>
    <w:rsid w:val="007B232C"/>
    <w:pPr>
      <w:spacing w:after="100"/>
      <w:ind w:left="240"/>
    </w:pPr>
  </w:style>
  <w:style w:type="character" w:styleId="Hyperlnk">
    <w:name w:val="Hyperlink"/>
    <w:basedOn w:val="Standardstycketeckensnitt"/>
    <w:uiPriority w:val="99"/>
    <w:unhideWhenUsed/>
    <w:rsid w:val="007B232C"/>
    <w:rPr>
      <w:color w:val="0000FF" w:themeColor="hyperlink"/>
      <w:u w:val="single"/>
    </w:rPr>
  </w:style>
  <w:style w:type="paragraph" w:styleId="Ballongtext">
    <w:name w:val="Balloon Text"/>
    <w:basedOn w:val="Normal"/>
    <w:link w:val="BallongtextChar"/>
    <w:uiPriority w:val="99"/>
    <w:semiHidden/>
    <w:unhideWhenUsed/>
    <w:rsid w:val="007B232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232C"/>
    <w:rPr>
      <w:rFonts w:ascii="Tahoma" w:hAnsi="Tahoma" w:cs="Tahoma"/>
      <w:sz w:val="16"/>
      <w:szCs w:val="16"/>
    </w:rPr>
  </w:style>
  <w:style w:type="paragraph" w:styleId="Fotnotstext">
    <w:name w:val="footnote text"/>
    <w:basedOn w:val="Normal"/>
    <w:link w:val="FotnotstextChar"/>
    <w:uiPriority w:val="99"/>
    <w:semiHidden/>
    <w:unhideWhenUsed/>
    <w:rsid w:val="00A4592C"/>
    <w:pPr>
      <w:spacing w:after="0"/>
    </w:pPr>
    <w:rPr>
      <w:sz w:val="20"/>
      <w:szCs w:val="20"/>
    </w:rPr>
  </w:style>
  <w:style w:type="character" w:customStyle="1" w:styleId="FotnotstextChar">
    <w:name w:val="Fotnotstext Char"/>
    <w:basedOn w:val="Standardstycketeckensnitt"/>
    <w:link w:val="Fotnotstext"/>
    <w:uiPriority w:val="99"/>
    <w:semiHidden/>
    <w:rsid w:val="00A4592C"/>
    <w:rPr>
      <w:sz w:val="20"/>
      <w:szCs w:val="20"/>
    </w:rPr>
  </w:style>
  <w:style w:type="character" w:styleId="Fotnotsreferens">
    <w:name w:val="footnote reference"/>
    <w:basedOn w:val="Standardstycketeckensnitt"/>
    <w:uiPriority w:val="99"/>
    <w:semiHidden/>
    <w:unhideWhenUsed/>
    <w:rsid w:val="00A4592C"/>
    <w:rPr>
      <w:vertAlign w:val="superscript"/>
    </w:rPr>
  </w:style>
  <w:style w:type="paragraph" w:styleId="Innehll3">
    <w:name w:val="toc 3"/>
    <w:basedOn w:val="Normal"/>
    <w:next w:val="Normal"/>
    <w:autoRedefine/>
    <w:uiPriority w:val="39"/>
    <w:unhideWhenUsed/>
    <w:rsid w:val="00213ED5"/>
    <w:pPr>
      <w:spacing w:after="100"/>
      <w:ind w:left="480"/>
    </w:pPr>
  </w:style>
  <w:style w:type="table" w:styleId="Tabellrutnt">
    <w:name w:val="Table Grid"/>
    <w:aliases w:val="Deloitte"/>
    <w:basedOn w:val="Normaltabell"/>
    <w:rsid w:val="0002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A49F0"/>
    <w:pPr>
      <w:autoSpaceDE w:val="0"/>
      <w:autoSpaceDN w:val="0"/>
      <w:spacing w:after="0"/>
      <w:jc w:val="left"/>
    </w:pPr>
    <w:rPr>
      <w:rFonts w:ascii="Times New Roman" w:eastAsiaTheme="minorHAnsi" w:hAnsi="Times New Roman"/>
      <w:color w:val="000000"/>
    </w:rPr>
  </w:style>
  <w:style w:type="character" w:styleId="Platshllartext">
    <w:name w:val="Placeholder Text"/>
    <w:basedOn w:val="Standardstycketeckensnitt"/>
    <w:uiPriority w:val="99"/>
    <w:semiHidden/>
    <w:rsid w:val="0049135D"/>
    <w:rPr>
      <w:color w:val="808080"/>
    </w:rPr>
  </w:style>
  <w:style w:type="paragraph" w:customStyle="1" w:styleId="QA">
    <w:name w:val="Q&amp;A"/>
    <w:basedOn w:val="Liststycke"/>
    <w:link w:val="QAChar"/>
    <w:qFormat/>
    <w:rsid w:val="00E75A8A"/>
    <w:pPr>
      <w:numPr>
        <w:numId w:val="23"/>
      </w:numPr>
      <w:spacing w:after="120"/>
      <w:contextualSpacing w:val="0"/>
    </w:pPr>
    <w:rPr>
      <w:rFonts w:ascii="Times" w:eastAsia="Times New Roman" w:hAnsi="Times"/>
      <w:b/>
      <w:i/>
      <w:szCs w:val="22"/>
    </w:rPr>
  </w:style>
  <w:style w:type="character" w:customStyle="1" w:styleId="QAChar">
    <w:name w:val="Q&amp;A Char"/>
    <w:basedOn w:val="Standardstycketeckensnitt"/>
    <w:link w:val="QA"/>
    <w:rsid w:val="00E75A8A"/>
    <w:rPr>
      <w:rFonts w:ascii="Times" w:eastAsia="Times New Roman" w:hAnsi="Times"/>
      <w:b/>
      <w:i/>
      <w:sz w:val="24"/>
    </w:rPr>
  </w:style>
  <w:style w:type="character" w:customStyle="1" w:styleId="ListstyckeChar">
    <w:name w:val="Liststycke Char"/>
    <w:aliases w:val="FooterText Char,Paragraphe de liste1 Char,1st level - Bullet List Paragraph Char,Lettre d'introduction Char,Paragrafo elenco Char,List Paragraph1 Char,Medium Grid 1 - Accent 21 Char,Heading 2_sj Char,Numbered Para 1 Char,Dot pt Char"/>
    <w:link w:val="Liststycke"/>
    <w:uiPriority w:val="34"/>
    <w:qFormat/>
    <w:locked/>
    <w:rsid w:val="00C021C2"/>
    <w:rPr>
      <w:sz w:val="24"/>
      <w:szCs w:val="24"/>
    </w:rPr>
  </w:style>
  <w:style w:type="paragraph" w:styleId="Normalwebb">
    <w:name w:val="Normal (Web)"/>
    <w:basedOn w:val="Normal"/>
    <w:uiPriority w:val="99"/>
    <w:unhideWhenUsed/>
    <w:rsid w:val="003F1346"/>
    <w:pPr>
      <w:spacing w:before="100" w:beforeAutospacing="1" w:after="100" w:afterAutospacing="1"/>
      <w:jc w:val="left"/>
    </w:pPr>
    <w:rPr>
      <w:rFonts w:ascii="Times New Roman" w:eastAsiaTheme="minorHAnsi" w:hAnsi="Times New Roman"/>
      <w:lang w:val="it-IT" w:eastAsia="it-IT"/>
    </w:rPr>
  </w:style>
  <w:style w:type="paragraph" w:customStyle="1" w:styleId="Bullet3">
    <w:name w:val="Bullet 3"/>
    <w:basedOn w:val="Normal"/>
    <w:rsid w:val="00467977"/>
    <w:pPr>
      <w:numPr>
        <w:numId w:val="27"/>
      </w:numPr>
      <w:spacing w:before="120" w:after="120"/>
    </w:pPr>
    <w:rPr>
      <w:rFonts w:ascii="Times New Roman" w:eastAsia="Times New Roman" w:hAnsi="Times New Roman"/>
    </w:rPr>
  </w:style>
  <w:style w:type="character" w:styleId="Kommentarsreferens">
    <w:name w:val="annotation reference"/>
    <w:basedOn w:val="Standardstycketeckensnitt"/>
    <w:uiPriority w:val="99"/>
    <w:semiHidden/>
    <w:unhideWhenUsed/>
    <w:rsid w:val="006B18A3"/>
    <w:rPr>
      <w:sz w:val="16"/>
      <w:szCs w:val="16"/>
    </w:rPr>
  </w:style>
  <w:style w:type="paragraph" w:styleId="Kommentarer">
    <w:name w:val="annotation text"/>
    <w:basedOn w:val="Normal"/>
    <w:link w:val="KommentarerChar"/>
    <w:uiPriority w:val="99"/>
    <w:semiHidden/>
    <w:unhideWhenUsed/>
    <w:rsid w:val="006B18A3"/>
    <w:rPr>
      <w:sz w:val="20"/>
      <w:szCs w:val="20"/>
    </w:rPr>
  </w:style>
  <w:style w:type="character" w:customStyle="1" w:styleId="KommentarerChar">
    <w:name w:val="Kommentarer Char"/>
    <w:basedOn w:val="Standardstycketeckensnitt"/>
    <w:link w:val="Kommentarer"/>
    <w:uiPriority w:val="99"/>
    <w:semiHidden/>
    <w:rsid w:val="006B18A3"/>
    <w:rPr>
      <w:sz w:val="20"/>
      <w:szCs w:val="20"/>
    </w:rPr>
  </w:style>
  <w:style w:type="paragraph" w:styleId="Kommentarsmne">
    <w:name w:val="annotation subject"/>
    <w:basedOn w:val="Kommentarer"/>
    <w:next w:val="Kommentarer"/>
    <w:link w:val="KommentarsmneChar"/>
    <w:uiPriority w:val="99"/>
    <w:semiHidden/>
    <w:unhideWhenUsed/>
    <w:rsid w:val="006B18A3"/>
    <w:rPr>
      <w:b/>
      <w:bCs/>
    </w:rPr>
  </w:style>
  <w:style w:type="character" w:customStyle="1" w:styleId="KommentarsmneChar">
    <w:name w:val="Kommentarsämne Char"/>
    <w:basedOn w:val="KommentarerChar"/>
    <w:link w:val="Kommentarsmne"/>
    <w:uiPriority w:val="99"/>
    <w:semiHidden/>
    <w:rsid w:val="006B18A3"/>
    <w:rPr>
      <w:b/>
      <w:bCs/>
      <w:sz w:val="20"/>
      <w:szCs w:val="20"/>
    </w:rPr>
  </w:style>
  <w:style w:type="paragraph" w:styleId="Sidhuvud">
    <w:name w:val="header"/>
    <w:basedOn w:val="Normal"/>
    <w:link w:val="SidhuvudChar"/>
    <w:uiPriority w:val="99"/>
    <w:unhideWhenUsed/>
    <w:rsid w:val="007772A9"/>
    <w:pPr>
      <w:tabs>
        <w:tab w:val="center" w:pos="4536"/>
        <w:tab w:val="right" w:pos="9072"/>
      </w:tabs>
      <w:spacing w:after="0"/>
    </w:pPr>
  </w:style>
  <w:style w:type="character" w:customStyle="1" w:styleId="SidhuvudChar">
    <w:name w:val="Sidhuvud Char"/>
    <w:basedOn w:val="Standardstycketeckensnitt"/>
    <w:link w:val="Sidhuvud"/>
    <w:uiPriority w:val="99"/>
    <w:rsid w:val="007772A9"/>
    <w:rPr>
      <w:sz w:val="24"/>
      <w:szCs w:val="24"/>
    </w:rPr>
  </w:style>
  <w:style w:type="paragraph" w:styleId="Sidfot">
    <w:name w:val="footer"/>
    <w:basedOn w:val="Normal"/>
    <w:link w:val="SidfotChar"/>
    <w:uiPriority w:val="99"/>
    <w:unhideWhenUsed/>
    <w:rsid w:val="007772A9"/>
    <w:pPr>
      <w:tabs>
        <w:tab w:val="center" w:pos="4536"/>
        <w:tab w:val="right" w:pos="9072"/>
      </w:tabs>
      <w:spacing w:after="0"/>
    </w:pPr>
  </w:style>
  <w:style w:type="character" w:customStyle="1" w:styleId="SidfotChar">
    <w:name w:val="Sidfot Char"/>
    <w:basedOn w:val="Standardstycketeckensnitt"/>
    <w:link w:val="Sidfot"/>
    <w:uiPriority w:val="99"/>
    <w:rsid w:val="007772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4399">
      <w:bodyDiv w:val="1"/>
      <w:marLeft w:val="0"/>
      <w:marRight w:val="0"/>
      <w:marTop w:val="0"/>
      <w:marBottom w:val="0"/>
      <w:divBdr>
        <w:top w:val="none" w:sz="0" w:space="0" w:color="auto"/>
        <w:left w:val="none" w:sz="0" w:space="0" w:color="auto"/>
        <w:bottom w:val="none" w:sz="0" w:space="0" w:color="auto"/>
        <w:right w:val="none" w:sz="0" w:space="0" w:color="auto"/>
      </w:divBdr>
    </w:div>
    <w:div w:id="100684347">
      <w:bodyDiv w:val="1"/>
      <w:marLeft w:val="0"/>
      <w:marRight w:val="0"/>
      <w:marTop w:val="0"/>
      <w:marBottom w:val="0"/>
      <w:divBdr>
        <w:top w:val="none" w:sz="0" w:space="0" w:color="auto"/>
        <w:left w:val="none" w:sz="0" w:space="0" w:color="auto"/>
        <w:bottom w:val="none" w:sz="0" w:space="0" w:color="auto"/>
        <w:right w:val="none" w:sz="0" w:space="0" w:color="auto"/>
      </w:divBdr>
    </w:div>
    <w:div w:id="113251748">
      <w:bodyDiv w:val="1"/>
      <w:marLeft w:val="0"/>
      <w:marRight w:val="0"/>
      <w:marTop w:val="0"/>
      <w:marBottom w:val="0"/>
      <w:divBdr>
        <w:top w:val="none" w:sz="0" w:space="0" w:color="auto"/>
        <w:left w:val="none" w:sz="0" w:space="0" w:color="auto"/>
        <w:bottom w:val="none" w:sz="0" w:space="0" w:color="auto"/>
        <w:right w:val="none" w:sz="0" w:space="0" w:color="auto"/>
      </w:divBdr>
    </w:div>
    <w:div w:id="155000483">
      <w:bodyDiv w:val="1"/>
      <w:marLeft w:val="0"/>
      <w:marRight w:val="0"/>
      <w:marTop w:val="0"/>
      <w:marBottom w:val="0"/>
      <w:divBdr>
        <w:top w:val="none" w:sz="0" w:space="0" w:color="auto"/>
        <w:left w:val="none" w:sz="0" w:space="0" w:color="auto"/>
        <w:bottom w:val="none" w:sz="0" w:space="0" w:color="auto"/>
        <w:right w:val="none" w:sz="0" w:space="0" w:color="auto"/>
      </w:divBdr>
    </w:div>
    <w:div w:id="564267274">
      <w:bodyDiv w:val="1"/>
      <w:marLeft w:val="0"/>
      <w:marRight w:val="0"/>
      <w:marTop w:val="0"/>
      <w:marBottom w:val="0"/>
      <w:divBdr>
        <w:top w:val="none" w:sz="0" w:space="0" w:color="auto"/>
        <w:left w:val="none" w:sz="0" w:space="0" w:color="auto"/>
        <w:bottom w:val="none" w:sz="0" w:space="0" w:color="auto"/>
        <w:right w:val="none" w:sz="0" w:space="0" w:color="auto"/>
      </w:divBdr>
    </w:div>
    <w:div w:id="649289582">
      <w:bodyDiv w:val="1"/>
      <w:marLeft w:val="0"/>
      <w:marRight w:val="0"/>
      <w:marTop w:val="0"/>
      <w:marBottom w:val="0"/>
      <w:divBdr>
        <w:top w:val="none" w:sz="0" w:space="0" w:color="auto"/>
        <w:left w:val="none" w:sz="0" w:space="0" w:color="auto"/>
        <w:bottom w:val="none" w:sz="0" w:space="0" w:color="auto"/>
        <w:right w:val="none" w:sz="0" w:space="0" w:color="auto"/>
      </w:divBdr>
    </w:div>
    <w:div w:id="703408690">
      <w:bodyDiv w:val="1"/>
      <w:marLeft w:val="0"/>
      <w:marRight w:val="0"/>
      <w:marTop w:val="0"/>
      <w:marBottom w:val="0"/>
      <w:divBdr>
        <w:top w:val="none" w:sz="0" w:space="0" w:color="auto"/>
        <w:left w:val="none" w:sz="0" w:space="0" w:color="auto"/>
        <w:bottom w:val="none" w:sz="0" w:space="0" w:color="auto"/>
        <w:right w:val="none" w:sz="0" w:space="0" w:color="auto"/>
      </w:divBdr>
    </w:div>
    <w:div w:id="809788544">
      <w:bodyDiv w:val="1"/>
      <w:marLeft w:val="0"/>
      <w:marRight w:val="0"/>
      <w:marTop w:val="0"/>
      <w:marBottom w:val="0"/>
      <w:divBdr>
        <w:top w:val="none" w:sz="0" w:space="0" w:color="auto"/>
        <w:left w:val="none" w:sz="0" w:space="0" w:color="auto"/>
        <w:bottom w:val="none" w:sz="0" w:space="0" w:color="auto"/>
        <w:right w:val="none" w:sz="0" w:space="0" w:color="auto"/>
      </w:divBdr>
    </w:div>
    <w:div w:id="816266373">
      <w:bodyDiv w:val="1"/>
      <w:marLeft w:val="0"/>
      <w:marRight w:val="0"/>
      <w:marTop w:val="0"/>
      <w:marBottom w:val="0"/>
      <w:divBdr>
        <w:top w:val="none" w:sz="0" w:space="0" w:color="auto"/>
        <w:left w:val="none" w:sz="0" w:space="0" w:color="auto"/>
        <w:bottom w:val="none" w:sz="0" w:space="0" w:color="auto"/>
        <w:right w:val="none" w:sz="0" w:space="0" w:color="auto"/>
      </w:divBdr>
    </w:div>
    <w:div w:id="1033575406">
      <w:bodyDiv w:val="1"/>
      <w:marLeft w:val="0"/>
      <w:marRight w:val="0"/>
      <w:marTop w:val="0"/>
      <w:marBottom w:val="0"/>
      <w:divBdr>
        <w:top w:val="none" w:sz="0" w:space="0" w:color="auto"/>
        <w:left w:val="none" w:sz="0" w:space="0" w:color="auto"/>
        <w:bottom w:val="none" w:sz="0" w:space="0" w:color="auto"/>
        <w:right w:val="none" w:sz="0" w:space="0" w:color="auto"/>
      </w:divBdr>
    </w:div>
    <w:div w:id="1292057226">
      <w:bodyDiv w:val="1"/>
      <w:marLeft w:val="0"/>
      <w:marRight w:val="0"/>
      <w:marTop w:val="0"/>
      <w:marBottom w:val="0"/>
      <w:divBdr>
        <w:top w:val="none" w:sz="0" w:space="0" w:color="auto"/>
        <w:left w:val="none" w:sz="0" w:space="0" w:color="auto"/>
        <w:bottom w:val="none" w:sz="0" w:space="0" w:color="auto"/>
        <w:right w:val="none" w:sz="0" w:space="0" w:color="auto"/>
      </w:divBdr>
    </w:div>
    <w:div w:id="1604805530">
      <w:bodyDiv w:val="1"/>
      <w:marLeft w:val="0"/>
      <w:marRight w:val="0"/>
      <w:marTop w:val="0"/>
      <w:marBottom w:val="0"/>
      <w:divBdr>
        <w:top w:val="none" w:sz="0" w:space="0" w:color="auto"/>
        <w:left w:val="none" w:sz="0" w:space="0" w:color="auto"/>
        <w:bottom w:val="none" w:sz="0" w:space="0" w:color="auto"/>
        <w:right w:val="none" w:sz="0" w:space="0" w:color="auto"/>
      </w:divBdr>
    </w:div>
    <w:div w:id="1717197599">
      <w:bodyDiv w:val="1"/>
      <w:marLeft w:val="0"/>
      <w:marRight w:val="0"/>
      <w:marTop w:val="0"/>
      <w:marBottom w:val="0"/>
      <w:divBdr>
        <w:top w:val="none" w:sz="0" w:space="0" w:color="auto"/>
        <w:left w:val="none" w:sz="0" w:space="0" w:color="auto"/>
        <w:bottom w:val="none" w:sz="0" w:space="0" w:color="auto"/>
        <w:right w:val="none" w:sz="0" w:space="0" w:color="auto"/>
      </w:divBdr>
    </w:div>
    <w:div w:id="1726368252">
      <w:bodyDiv w:val="1"/>
      <w:marLeft w:val="0"/>
      <w:marRight w:val="0"/>
      <w:marTop w:val="0"/>
      <w:marBottom w:val="0"/>
      <w:divBdr>
        <w:top w:val="none" w:sz="0" w:space="0" w:color="auto"/>
        <w:left w:val="none" w:sz="0" w:space="0" w:color="auto"/>
        <w:bottom w:val="none" w:sz="0" w:space="0" w:color="auto"/>
        <w:right w:val="none" w:sz="0" w:space="0" w:color="auto"/>
      </w:divBdr>
    </w:div>
    <w:div w:id="1834300997">
      <w:bodyDiv w:val="1"/>
      <w:marLeft w:val="0"/>
      <w:marRight w:val="0"/>
      <w:marTop w:val="0"/>
      <w:marBottom w:val="0"/>
      <w:divBdr>
        <w:top w:val="none" w:sz="0" w:space="0" w:color="auto"/>
        <w:left w:val="none" w:sz="0" w:space="0" w:color="auto"/>
        <w:bottom w:val="none" w:sz="0" w:space="0" w:color="auto"/>
        <w:right w:val="none" w:sz="0" w:space="0" w:color="auto"/>
      </w:divBdr>
    </w:div>
    <w:div w:id="18353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growth/tools-databases/newsroom/cf/itemdetail.cfm?item_id=7326&amp;lang=en&amp;title=%E2%80%98Blue-Guide%E2%80%99-on-the-implementation-of-EU-product-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8D15-9561-4E37-8236-9ED903DD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5183</Words>
  <Characters>27474</Characters>
  <Application>Microsoft Office Word</Application>
  <DocSecurity>0</DocSecurity>
  <Lines>228</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BEELAERTS Veerle (ENER)</dc:creator>
  <cp:lastModifiedBy>Anna Carlén</cp:lastModifiedBy>
  <cp:revision>2</cp:revision>
  <cp:lastPrinted>2017-02-21T15:03:00Z</cp:lastPrinted>
  <dcterms:created xsi:type="dcterms:W3CDTF">2017-05-05T08:14:00Z</dcterms:created>
  <dcterms:modified xsi:type="dcterms:W3CDTF">2017-05-05T08:14:00Z</dcterms:modified>
</cp:coreProperties>
</file>